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C5A" w:rsidRDefault="00113C5A" w:rsidP="00AC35C4">
      <w:pPr>
        <w:pStyle w:val="F2-zkladn"/>
        <w:rPr>
          <w:b/>
          <w:sz w:val="28"/>
          <w:szCs w:val="28"/>
        </w:rPr>
      </w:pPr>
    </w:p>
    <w:p w:rsidR="00B123FF" w:rsidRPr="009C3DB4" w:rsidRDefault="00B123FF" w:rsidP="00AC35C4">
      <w:pPr>
        <w:pStyle w:val="F2-zkladn"/>
        <w:rPr>
          <w:b/>
          <w:sz w:val="28"/>
          <w:szCs w:val="28"/>
        </w:rPr>
      </w:pPr>
      <w:r w:rsidRPr="009C3DB4">
        <w:rPr>
          <w:b/>
          <w:sz w:val="28"/>
          <w:szCs w:val="28"/>
        </w:rPr>
        <w:t xml:space="preserve">TISKOVÁ </w:t>
      </w:r>
      <w:r w:rsidR="00425B35" w:rsidRPr="009C3DB4">
        <w:rPr>
          <w:b/>
          <w:sz w:val="28"/>
          <w:szCs w:val="28"/>
        </w:rPr>
        <w:t>ZPRÁVA</w:t>
      </w:r>
    </w:p>
    <w:p w:rsidR="000A2833" w:rsidRPr="009C3DB4" w:rsidRDefault="00BE7B01" w:rsidP="00AC35C4">
      <w:pPr>
        <w:pStyle w:val="F2-zkladn"/>
        <w:rPr>
          <w:b/>
          <w:sz w:val="28"/>
          <w:szCs w:val="28"/>
        </w:rPr>
      </w:pPr>
      <w:r w:rsidRPr="009C3DB4">
        <w:rPr>
          <w:noProof/>
        </w:rPr>
        <mc:AlternateContent>
          <mc:Choice Requires="wps">
            <w:drawing>
              <wp:inline distT="0" distB="0" distL="0" distR="0">
                <wp:extent cx="301625" cy="301625"/>
                <wp:effectExtent l="0" t="0" r="0" b="0"/>
                <wp:docPr id="1"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FADE7FF"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osKg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hT1jjMnWmrR&#10;wy5CvpmNOVM6SLJraZS2Jh7ZykWNTkRqt7BZcWON286tkdsTPzr+9y72yhcgd612sW8lapuBQ2N8&#10;4AzLRAtXapS6VHQ+lJlt6m0On/0TJs+DfwS5DczBvBFuox+Cp773is4pROgaLRRZ9wqux0iAgdDY&#10;uvsMijwQ5EFWd6ixTXcQX3bIY3O8jI0+RCYp+X44uh3fcCapdIoTYVGeP/YY4icNLUsBSSJ2GVzs&#10;H0Psj56PpLscLI21eTKte5UgzJTJXiS+vRVrUEfijkDYNOP0GiloAH9w1tFkVzx83wnUnNmVI/13&#10;o8kkPYW8mdx8GNMGryvr64pwkqAqHjnrw3mkHX2y82g2Tba555jmpjZZT/KzZ3UiS9ObHTm9tPQ8&#10;rvf51K//wewn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atja39MAAABDAQAAGQAAAGRycy9fcmVscy9lMm9Eb2MueG1sLnJlbHOEz8FqwzAMBuD7&#10;oO9gdF+c7jDGiNPLNuhhl9E9gLCVxNSRja0tTZ9+hlFoYbCjkPT9Urc7zUF9Uy4+soFt04IittF5&#10;Hg18Ht7un0AVQXYYIpOBlQrs+s1d90EBpS6VyaeiqsLFwCSSnrUudqIZSxMTce0MMc8otcyjTmiP&#10;OJJ+aNtHna8N6G9MtXcG8t5tQR3WVJP/t+MweEsv0X7NxPJHhJ6qlIPnY0UxjyS/bKk3L8vSDN5R&#10;8LI29qwvE+/R1fDXk1BmDKD7Tt+83v8AAAD//wMAUEsBAi0AFAAGAAgAAAAhALaDOJL+AAAA4QEA&#10;ABMAAAAAAAAAAAAAAAAAAAAAAFtDb250ZW50X1R5cGVzXS54bWxQSwECLQAUAAYACAAAACEAOP0h&#10;/9YAAACUAQAACwAAAAAAAAAAAAAAAAAvAQAAX3JlbHMvLnJlbHNQSwECLQAUAAYACAAAACEA9z+K&#10;LCoCAABXBAAADgAAAAAAAAAAAAAAAAAuAgAAZHJzL2Uyb0RvYy54bWxQSwECLQAUAAYACAAAACEA&#10;ouXspdgAAAADAQAADwAAAAAAAAAAAAAAAACEBAAAZHJzL2Rvd25yZXYueG1sUEsBAi0AFAAGAAgA&#10;AAAhAGrY2t/TAAAAQwEAABkAAAAAAAAAAAAAAAAAiQUAAGRycy9fcmVscy9lMm9Eb2MueG1sLnJl&#10;bHNQSwUGAAAAAAUABQA6AQAAkwYAAAAA&#10;" o:button="t" filled="f" stroked="f">
                <v:fill o:detectmouseclick="t"/>
                <o:lock v:ext="edit" aspectratio="t"/>
                <w10:anchorlock/>
              </v:rect>
            </w:pict>
          </mc:Fallback>
        </mc:AlternateContent>
      </w:r>
    </w:p>
    <w:p w:rsidR="000A2833" w:rsidRPr="00B362ED" w:rsidRDefault="00BE7B01" w:rsidP="00AC35C4">
      <w:pPr>
        <w:pStyle w:val="F2-zkladn"/>
        <w:tabs>
          <w:tab w:val="right" w:pos="9070"/>
        </w:tabs>
      </w:pPr>
      <w:r w:rsidRPr="00B362ED">
        <w:rPr>
          <w:noProof/>
        </w:rPr>
        <mc:AlternateContent>
          <mc:Choice Requires="wps">
            <w:drawing>
              <wp:inline distT="0" distB="0" distL="0" distR="0">
                <wp:extent cx="301625" cy="301625"/>
                <wp:effectExtent l="0" t="0" r="0" b="0"/>
                <wp:docPr id="4"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E10318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duKw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lTFJ5w50VKL&#10;HnYR8s3shjOlgyS7lkZpa+KRrVzU6ESkdgubFTfWuO3cGrk98aPjf+9ir3wBctdqF/tWorYZODTG&#10;B86wTLRwpUapS0XnQ5nZpt7m8Nk/YfI8+EeQ28AczBvhNvoheOo7TSMpOqcQoWu0UGTdK7geIwEG&#10;QmPr7jMo8kCQB1ndocY23UF82SGPzfEyNvoQmaTk++HodkxeSSqd4kRYlOePPYb4SUPLUkCSiF0G&#10;F/vHEPuj5yPpLgdLY22eTOteJQgzZbIXiW9vxRrUkbgjEDbNOL1GChrAH5x1NNkVD993AjVnduVI&#10;/91oMklPIW8mNx/GtMHryvq6IpwkqIpHzvpwHmlHn+w8mk2Tbe45prmpTdaT/OxZncjS9GZHTi8t&#10;PY/rfT71638w+wk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Bm3&#10;p2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B362ED">
        <w:tab/>
        <w:t xml:space="preserve">Praha, </w:t>
      </w:r>
      <w:r w:rsidR="00083F45">
        <w:t>14</w:t>
      </w:r>
      <w:bookmarkStart w:id="0" w:name="_GoBack"/>
      <w:bookmarkEnd w:id="0"/>
      <w:r w:rsidR="00AE4447">
        <w:t>. května 2020</w:t>
      </w:r>
    </w:p>
    <w:p w:rsidR="00AE4447" w:rsidRDefault="00AE4447" w:rsidP="004F7624">
      <w:pPr>
        <w:pStyle w:val="FormtovanvHTML"/>
        <w:shd w:val="clear" w:color="auto" w:fill="FFFFFF"/>
        <w:rPr>
          <w:rFonts w:ascii="Arial" w:hAnsi="Arial" w:cs="Arial"/>
          <w:b/>
          <w:sz w:val="28"/>
          <w:szCs w:val="28"/>
          <w:lang w:val="cs-CZ" w:eastAsia="cs-CZ"/>
        </w:rPr>
      </w:pPr>
      <w:r w:rsidRPr="00AE4447">
        <w:rPr>
          <w:rFonts w:ascii="Arial" w:hAnsi="Arial" w:cs="Arial"/>
          <w:b/>
          <w:sz w:val="28"/>
          <w:szCs w:val="28"/>
          <w:lang w:val="cs-CZ" w:eastAsia="cs-CZ"/>
        </w:rPr>
        <w:t>Čínští turisté znovu na cestách</w:t>
      </w:r>
    </w:p>
    <w:p w:rsidR="00AE4447" w:rsidRDefault="00AE4447" w:rsidP="00A30105">
      <w:pPr>
        <w:pStyle w:val="F2-zkladn"/>
        <w:tabs>
          <w:tab w:val="right" w:pos="9070"/>
        </w:tabs>
        <w:rPr>
          <w:b/>
          <w:lang w:val="x-none" w:eastAsia="x-none"/>
        </w:rPr>
      </w:pPr>
      <w:r w:rsidRPr="00AE4447">
        <w:rPr>
          <w:b/>
          <w:lang w:val="x-none" w:eastAsia="x-none"/>
        </w:rPr>
        <w:t xml:space="preserve">Přes 100 milionů lidí vyrazilo v květnu během pětidenního volna v Číně na cesty.  Byla to první velká zkouška domácí poptávky po cestovním ruchu od doby, kdy bylo zrušeno omezení volného pohybu kvůli Covid-19. Přichází zotavení, nebo spíš zůstanou spotřebitelé chvíli opatrní? </w:t>
      </w:r>
    </w:p>
    <w:p w:rsidR="00AE4447" w:rsidRPr="00AE4447" w:rsidRDefault="00AE4447" w:rsidP="00AE4447">
      <w:pPr>
        <w:spacing w:line="276" w:lineRule="auto"/>
        <w:rPr>
          <w:rFonts w:ascii="Calibri" w:hAnsi="Calibri" w:cs="Calibri"/>
        </w:rPr>
      </w:pPr>
      <w:r>
        <w:t xml:space="preserve">Nekonečné fronty v zábavních parcích a vyprodané vstupenky v pokladnách u památek nikdy nebyly vnímány tak dobře. Čínští spotřebitelé oslavili svůj první hlavní svátek od chvíle, co pandemie Covid-19 v únoru zastavila domácí cestování. Podle Ministerstva kultury a cestovního ruchu Číny cestovalo během pětidenní květnové dovolené každý den průměrně 23 milionů lidí, což je zhruba polovina počtu ve stejném období v roce 2019. I přes meziroční pokles je to ale velké zlepšení oproti únoru a březnu, kdy byla většina Číny uzavřena kvůli vypuknutí </w:t>
      </w:r>
      <w:proofErr w:type="spellStart"/>
      <w:r>
        <w:t>koronavirové</w:t>
      </w:r>
      <w:proofErr w:type="spellEnd"/>
      <w:r>
        <w:t xml:space="preserve"> pandemie. Ještě před několika týdny bylo na prodlouženém víkendu na začátku dubna zaznamenáno jen asi 14 milionů čínských cestujících denně. Je třeba upozornit, že poptávka v segmentu cestovního ruchu byla částečně omezena přísnými opatřeními pro kontrolu počtu osob, aby se snížilo riziko infekce. Ministerstvo nařídilo provozovatelům parků, aby během květnových svátků omezili návštěvnost na 30 procent své kapacity.</w:t>
      </w:r>
    </w:p>
    <w:p w:rsidR="00AE4447" w:rsidRPr="00AE4447" w:rsidRDefault="00AE4447" w:rsidP="00AE4447">
      <w:pPr>
        <w:spacing w:line="276" w:lineRule="auto"/>
        <w:rPr>
          <w:b/>
        </w:rPr>
      </w:pPr>
      <w:r w:rsidRPr="00AE4447">
        <w:rPr>
          <w:b/>
        </w:rPr>
        <w:t>Potlačovaná poptávka</w:t>
      </w:r>
    </w:p>
    <w:p w:rsidR="00AE4447" w:rsidRDefault="00AE4447" w:rsidP="00AE4447">
      <w:pPr>
        <w:spacing w:line="276" w:lineRule="auto"/>
      </w:pPr>
      <w:r>
        <w:t>Cestování do zahraničí v nabídce není vůbec, ale náznaky postupného oživení domácího čínského cestovního ruchu by mohly být určitým povzbuzením pro další země, které se těší na život po omezení pohybu, včetně uvolnění odložené poptávky mezi spotřebiteli.</w:t>
      </w:r>
    </w:p>
    <w:p w:rsidR="00AE4447" w:rsidRDefault="00AE4447" w:rsidP="00AE4447">
      <w:pPr>
        <w:spacing w:line="276" w:lineRule="auto"/>
      </w:pPr>
      <w:r w:rsidRPr="00715BEC">
        <w:rPr>
          <w:i/>
        </w:rPr>
        <w:t>„Pro mnoho lidí je cestování způsob, jak se zbavit stresu a frustrace z omezení volného pohybu,“</w:t>
      </w:r>
      <w:r>
        <w:t xml:space="preserve"> říká </w:t>
      </w:r>
      <w:proofErr w:type="spellStart"/>
      <w:r>
        <w:t>Hyomi</w:t>
      </w:r>
      <w:proofErr w:type="spellEnd"/>
      <w:r>
        <w:t xml:space="preserve"> </w:t>
      </w:r>
      <w:proofErr w:type="spellStart"/>
      <w:r>
        <w:t>Jie</w:t>
      </w:r>
      <w:proofErr w:type="spellEnd"/>
      <w:r>
        <w:t xml:space="preserve">, portfolio manažerka </w:t>
      </w:r>
      <w:proofErr w:type="spellStart"/>
      <w:r>
        <w:t>Fidelity</w:t>
      </w:r>
      <w:proofErr w:type="spellEnd"/>
      <w:r>
        <w:t xml:space="preserve"> International. „</w:t>
      </w:r>
      <w:r w:rsidRPr="00715BEC">
        <w:rPr>
          <w:i/>
        </w:rPr>
        <w:t>Cestovatelé ale nejsou připraveni utrácet velké množství peněz kvůli současné nejistotě ohledně pracovních míst a růstu příjmů."</w:t>
      </w:r>
    </w:p>
    <w:p w:rsidR="00AE4447" w:rsidRDefault="00AE4447" w:rsidP="00AE4447">
      <w:pPr>
        <w:spacing w:line="276" w:lineRule="auto"/>
      </w:pPr>
      <w:r>
        <w:t xml:space="preserve">Jak ukazují údaje Ministerstva kultury a cestovního ruchu, průměrný turista utratil denně při květnových svátcích asi 414 </w:t>
      </w:r>
      <w:proofErr w:type="spellStart"/>
      <w:r>
        <w:t>renminbi</w:t>
      </w:r>
      <w:proofErr w:type="spellEnd"/>
      <w:r>
        <w:t xml:space="preserve"> (asi 58 USD), což je o 31 procent méně</w:t>
      </w:r>
      <w:r w:rsidR="00715BEC">
        <w:t>,</w:t>
      </w:r>
      <w:r>
        <w:t xml:space="preserve"> než tomu bylo před rokem. Přesto jsou výdaje na obyvatele více než dvojnásobné oproti prodlouženému </w:t>
      </w:r>
      <w:proofErr w:type="gramStart"/>
      <w:r>
        <w:t>víkendu 4.– 6. dubna</w:t>
      </w:r>
      <w:proofErr w:type="gramEnd"/>
      <w:r>
        <w:t xml:space="preserve">. Celkové příjmy z cestovního ruchu dosáhly 47,6 miliard </w:t>
      </w:r>
      <w:proofErr w:type="spellStart"/>
      <w:r>
        <w:t>renminbi</w:t>
      </w:r>
      <w:proofErr w:type="spellEnd"/>
      <w:r>
        <w:t xml:space="preserve"> za pět dní, což je o polovinu méně v porovnání s květnem 2019. Lidé se při prodloužených oslavách svátku práce, které proběhly 1. až 5. května, hrnuli navštívit významné památky. Pekingské Zakázané město vyprodalo všech 25 000 vstupenek ještě před začátkem volna a u hory </w:t>
      </w:r>
      <w:proofErr w:type="spellStart"/>
      <w:r>
        <w:t>Tai</w:t>
      </w:r>
      <w:proofErr w:type="spellEnd"/>
      <w:r>
        <w:t xml:space="preserve"> v provincii </w:t>
      </w:r>
      <w:proofErr w:type="spellStart"/>
      <w:r>
        <w:t>Šan</w:t>
      </w:r>
      <w:proofErr w:type="spellEnd"/>
      <w:r>
        <w:t>-tung se před otevřením 1. května vytvořila v noci při vstupu obrovská fronta.</w:t>
      </w:r>
    </w:p>
    <w:tbl>
      <w:tblPr>
        <w:tblW w:w="5000" w:type="pct"/>
        <w:tblCellMar>
          <w:left w:w="0" w:type="dxa"/>
          <w:right w:w="0" w:type="dxa"/>
        </w:tblCellMar>
        <w:tblLook w:val="04A0" w:firstRow="1" w:lastRow="0" w:firstColumn="1" w:lastColumn="0" w:noHBand="0" w:noVBand="1"/>
      </w:tblPr>
      <w:tblGrid>
        <w:gridCol w:w="9070"/>
      </w:tblGrid>
      <w:tr w:rsidR="00AE4447" w:rsidTr="00AE4447">
        <w:tc>
          <w:tcPr>
            <w:tcW w:w="0" w:type="auto"/>
            <w:tcMar>
              <w:top w:w="135" w:type="dxa"/>
              <w:left w:w="135" w:type="dxa"/>
              <w:bottom w:w="135" w:type="dxa"/>
              <w:right w:w="135" w:type="dxa"/>
            </w:tcMar>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8800"/>
            </w:tblGrid>
            <w:tr w:rsidR="00AE4447">
              <w:tc>
                <w:tcPr>
                  <w:tcW w:w="0" w:type="auto"/>
                  <w:tcMar>
                    <w:top w:w="0" w:type="dxa"/>
                    <w:left w:w="135" w:type="dxa"/>
                    <w:bottom w:w="0" w:type="dxa"/>
                    <w:right w:w="135" w:type="dxa"/>
                  </w:tcMar>
                  <w:hideMark/>
                </w:tcPr>
                <w:p w:rsidR="00AE4447" w:rsidRDefault="00AE4447">
                  <w:pPr>
                    <w:spacing w:line="276" w:lineRule="auto"/>
                    <w:jc w:val="center"/>
                    <w:rPr>
                      <w:lang w:eastAsia="en-US"/>
                    </w:rPr>
                  </w:pPr>
                  <w:r>
                    <w:rPr>
                      <w:noProof/>
                    </w:rPr>
                    <w:lastRenderedPageBreak/>
                    <w:drawing>
                      <wp:inline distT="0" distB="0" distL="0" distR="0">
                        <wp:extent cx="5381625" cy="359092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625" cy="3590925"/>
                                </a:xfrm>
                                <a:prstGeom prst="rect">
                                  <a:avLst/>
                                </a:prstGeom>
                                <a:noFill/>
                                <a:ln>
                                  <a:noFill/>
                                </a:ln>
                              </pic:spPr>
                            </pic:pic>
                          </a:graphicData>
                        </a:graphic>
                      </wp:inline>
                    </w:drawing>
                  </w:r>
                </w:p>
              </w:tc>
            </w:tr>
          </w:tbl>
          <w:p w:rsidR="00AE4447" w:rsidRDefault="00AE4447">
            <w:pPr>
              <w:spacing w:after="160" w:line="256" w:lineRule="auto"/>
              <w:rPr>
                <w:rFonts w:asciiTheme="minorHAnsi" w:hAnsiTheme="minorHAnsi" w:cstheme="minorBidi"/>
                <w:lang w:eastAsia="en-US"/>
              </w:rPr>
            </w:pPr>
          </w:p>
        </w:tc>
      </w:tr>
    </w:tbl>
    <w:p w:rsidR="00AE4447" w:rsidRDefault="00AE4447" w:rsidP="00AE4447">
      <w:pPr>
        <w:spacing w:line="276" w:lineRule="auto"/>
      </w:pPr>
    </w:p>
    <w:p w:rsidR="00AE4447" w:rsidRPr="00715BEC" w:rsidRDefault="00AE4447" w:rsidP="00AE4447">
      <w:pPr>
        <w:spacing w:line="276" w:lineRule="auto"/>
        <w:rPr>
          <w:b/>
        </w:rPr>
      </w:pPr>
      <w:r w:rsidRPr="00715BEC">
        <w:rPr>
          <w:b/>
        </w:rPr>
        <w:t>Letadla a vlaky znovu v pohybu</w:t>
      </w:r>
    </w:p>
    <w:p w:rsidR="00AE4447" w:rsidRDefault="00AE4447" w:rsidP="00AE4447">
      <w:pPr>
        <w:spacing w:line="276" w:lineRule="auto"/>
      </w:pPr>
      <w:r>
        <w:t>Zatímco mnoho leteckých společností na celém světě zůstává se svými flotilami na zemi, čínští komerční přepravci spouštějí zkušební cesty. Denní počet cestujících v letecké přepravě se od hodnot z poloviny února v porovnání s 5. květnem více než z</w:t>
      </w:r>
      <w:r w:rsidR="00715BEC">
        <w:t>e</w:t>
      </w:r>
      <w:r>
        <w:t>čtyřnásobil na přibližně 780 000. Podobně vzrostl počet cestujících na železnici na přibližně šest milionů d</w:t>
      </w:r>
      <w:r w:rsidR="00715BEC">
        <w:t>enně z méně než jednoho milionu</w:t>
      </w:r>
      <w:r>
        <w:t xml:space="preserve"> při porovnání stejného období.</w:t>
      </w:r>
    </w:p>
    <w:tbl>
      <w:tblPr>
        <w:tblW w:w="4644" w:type="pct"/>
        <w:tblCellMar>
          <w:left w:w="0" w:type="dxa"/>
          <w:right w:w="0" w:type="dxa"/>
        </w:tblCellMar>
        <w:tblLook w:val="04A0" w:firstRow="1" w:lastRow="0" w:firstColumn="1" w:lastColumn="0" w:noHBand="0" w:noVBand="1"/>
      </w:tblPr>
      <w:tblGrid>
        <w:gridCol w:w="9070"/>
      </w:tblGrid>
      <w:tr w:rsidR="00AE4447" w:rsidTr="00AE4447">
        <w:trPr>
          <w:trHeight w:val="4919"/>
        </w:trPr>
        <w:tc>
          <w:tcPr>
            <w:tcW w:w="0" w:type="auto"/>
            <w:tcMar>
              <w:top w:w="135" w:type="dxa"/>
              <w:left w:w="135" w:type="dxa"/>
              <w:bottom w:w="135" w:type="dxa"/>
              <w:right w:w="135" w:type="dxa"/>
            </w:tcMar>
            <w:hideMark/>
          </w:tcPr>
          <w:tbl>
            <w:tblPr>
              <w:tblpPr w:leftFromText="45" w:rightFromText="45" w:bottomFromText="160" w:vertAnchor="text"/>
              <w:tblW w:w="7884" w:type="dxa"/>
              <w:tblCellMar>
                <w:left w:w="0" w:type="dxa"/>
                <w:right w:w="0" w:type="dxa"/>
              </w:tblCellMar>
              <w:tblLook w:val="04A0" w:firstRow="1" w:lastRow="0" w:firstColumn="1" w:lastColumn="0" w:noHBand="0" w:noVBand="1"/>
            </w:tblPr>
            <w:tblGrid>
              <w:gridCol w:w="8800"/>
            </w:tblGrid>
            <w:tr w:rsidR="00AE4447" w:rsidTr="00AE4447">
              <w:trPr>
                <w:trHeight w:val="4071"/>
              </w:trPr>
              <w:tc>
                <w:tcPr>
                  <w:tcW w:w="0" w:type="auto"/>
                  <w:tcMar>
                    <w:top w:w="0" w:type="dxa"/>
                    <w:left w:w="135" w:type="dxa"/>
                    <w:bottom w:w="0" w:type="dxa"/>
                    <w:right w:w="135" w:type="dxa"/>
                  </w:tcMar>
                  <w:hideMark/>
                </w:tcPr>
                <w:p w:rsidR="00AE4447" w:rsidRDefault="00AE4447">
                  <w:pPr>
                    <w:spacing w:line="276" w:lineRule="auto"/>
                    <w:jc w:val="center"/>
                    <w:rPr>
                      <w:lang w:eastAsia="en-US"/>
                    </w:rPr>
                  </w:pPr>
                  <w:r>
                    <w:rPr>
                      <w:noProof/>
                    </w:rPr>
                    <w:lastRenderedPageBreak/>
                    <w:drawing>
                      <wp:inline distT="0" distB="0" distL="0" distR="0">
                        <wp:extent cx="5553075" cy="3705326"/>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449" cy="3711581"/>
                                </a:xfrm>
                                <a:prstGeom prst="rect">
                                  <a:avLst/>
                                </a:prstGeom>
                                <a:noFill/>
                                <a:ln>
                                  <a:noFill/>
                                </a:ln>
                              </pic:spPr>
                            </pic:pic>
                          </a:graphicData>
                        </a:graphic>
                      </wp:inline>
                    </w:drawing>
                  </w:r>
                </w:p>
              </w:tc>
            </w:tr>
          </w:tbl>
          <w:p w:rsidR="00AE4447" w:rsidRDefault="00AE4447">
            <w:pPr>
              <w:spacing w:after="160" w:line="256" w:lineRule="auto"/>
              <w:rPr>
                <w:rFonts w:asciiTheme="minorHAnsi" w:hAnsiTheme="minorHAnsi" w:cstheme="minorBidi"/>
                <w:lang w:eastAsia="en-US"/>
              </w:rPr>
            </w:pPr>
          </w:p>
        </w:tc>
      </w:tr>
    </w:tbl>
    <w:p w:rsidR="00AE4447" w:rsidRDefault="00AE4447" w:rsidP="00AE4447">
      <w:pPr>
        <w:spacing w:line="276" w:lineRule="auto"/>
      </w:pPr>
    </w:p>
    <w:p w:rsidR="00AE4447" w:rsidRDefault="00AE4447" w:rsidP="00AE4447">
      <w:pPr>
        <w:spacing w:line="276" w:lineRule="auto"/>
      </w:pPr>
      <w:r>
        <w:t>Čínské letecké společnosti fungují na přibližně 50 procent své kapacity, což je výrazně nad úrovní 10 až 30 procent kapacit u jiných leteckých společností ve světě. Z finančního hlediska se jim také daří mnohem lépe než západním komerčním dopravcům, z nichž někteří již počítají s vládní výpomocí, aby přežili. Velké čínské letecké společnosti vykazují relativně silné rozvahy bez okamžitých problémů s likviditou (stát jako hlavní akcionář poskytuje další pojistku). Historický pád cen ropy by měl být přínosem pro většinu čínských dopravců, kteří nemají zajišťovací kontrakty na ceny paliv. Palivo tvoří asi 30 procent jejich nákladů.</w:t>
      </w:r>
    </w:p>
    <w:p w:rsidR="00AE4447" w:rsidRDefault="00AE4447" w:rsidP="00AE4447">
      <w:pPr>
        <w:spacing w:line="276" w:lineRule="auto"/>
      </w:pPr>
      <w:r>
        <w:t>Čínské letecké společnosti čelí navzdory zlepšení výzvám. Mezinárodní lety se téměř zcela zhroutily, na domácím trhu probíhá minimální počet pracovních cest. Předběžné rezervace naznačují, že oživení poptávky bude pomalé</w:t>
      </w:r>
      <w:r w:rsidR="00715BEC">
        <w:t>,</w:t>
      </w:r>
      <w:r>
        <w:t xml:space="preserve"> a je těžké odhadnout, co bude v blízké budoucnosti.</w:t>
      </w:r>
    </w:p>
    <w:p w:rsidR="00AE4447" w:rsidRPr="00715BEC" w:rsidRDefault="00AE4447" w:rsidP="00AE4447">
      <w:pPr>
        <w:spacing w:line="276" w:lineRule="auto"/>
        <w:rPr>
          <w:b/>
        </w:rPr>
      </w:pPr>
      <w:r w:rsidRPr="00715BEC">
        <w:rPr>
          <w:b/>
        </w:rPr>
        <w:t>Hotelový pokoj s výhledem</w:t>
      </w:r>
    </w:p>
    <w:p w:rsidR="00AE4447" w:rsidRDefault="00AE4447" w:rsidP="00AE4447">
      <w:pPr>
        <w:spacing w:line="276" w:lineRule="auto"/>
      </w:pPr>
      <w:r>
        <w:t>V únoru spadla v důsledku epidemie obsazenost hotelů na jednociferné hodnoty a nyní podle ověřování našimi specialisty a odborníky na daný sektor se tato čísla dostala zhruba na 50 procent.</w:t>
      </w:r>
    </w:p>
    <w:p w:rsidR="00AE4447" w:rsidRDefault="00AE4447" w:rsidP="00AE4447">
      <w:pPr>
        <w:spacing w:line="276" w:lineRule="auto"/>
      </w:pPr>
      <w:r>
        <w:t xml:space="preserve">Střední kategorii hotelů se daří lépe než těm vyloženě luxusním, nebo naopak těm nejlevnějším. Nedostatek obchodních nebo mezinárodních cestujících omezil poptávku po luxusních hotelech. Čínští spotřebitelé také omezili své výdaje. Snížení cen je na denním pořádku a některé pětihvězdičkové hotely v Šanghaji nabízejí až padesátiprocentní slevy. </w:t>
      </w:r>
    </w:p>
    <w:p w:rsidR="00AE4447" w:rsidRDefault="00AE4447" w:rsidP="00AE4447">
      <w:pPr>
        <w:spacing w:line="276" w:lineRule="auto"/>
      </w:pPr>
    </w:p>
    <w:p w:rsidR="00AE4447" w:rsidRDefault="00AE4447" w:rsidP="00AE4447">
      <w:pPr>
        <w:spacing w:line="276" w:lineRule="auto"/>
      </w:pPr>
    </w:p>
    <w:p w:rsidR="00AE4447" w:rsidRPr="00715BEC" w:rsidRDefault="00AE4447" w:rsidP="00AE4447">
      <w:pPr>
        <w:spacing w:line="276" w:lineRule="auto"/>
        <w:rPr>
          <w:b/>
        </w:rPr>
      </w:pPr>
      <w:r w:rsidRPr="00715BEC">
        <w:rPr>
          <w:b/>
        </w:rPr>
        <w:lastRenderedPageBreak/>
        <w:t xml:space="preserve">Rezervace </w:t>
      </w:r>
    </w:p>
    <w:p w:rsidR="00AE4447" w:rsidRDefault="00AE4447" w:rsidP="00AE4447">
      <w:pPr>
        <w:spacing w:line="276" w:lineRule="auto"/>
      </w:pPr>
      <w:r>
        <w:t xml:space="preserve">Rezervace se vrátily na přibližně 60 procent běžné úrovně, protože cestovní kanceláře dávají velké slevy. Například známý </w:t>
      </w:r>
      <w:proofErr w:type="spellStart"/>
      <w:r>
        <w:t>Shenzhenský</w:t>
      </w:r>
      <w:proofErr w:type="spellEnd"/>
      <w:r>
        <w:t xml:space="preserve"> zábavní park Happy </w:t>
      </w:r>
      <w:proofErr w:type="spellStart"/>
      <w:r>
        <w:t>Valley</w:t>
      </w:r>
      <w:proofErr w:type="spellEnd"/>
      <w:r>
        <w:t xml:space="preserve"> nabízí roční vstupné za 365 </w:t>
      </w:r>
      <w:proofErr w:type="spellStart"/>
      <w:r>
        <w:t>renminbi</w:t>
      </w:r>
      <w:proofErr w:type="spellEnd"/>
      <w:r>
        <w:t xml:space="preserve">, ve srovnání se vstupenkou na jednu návštěvu, která dříve stála 220 </w:t>
      </w:r>
      <w:proofErr w:type="spellStart"/>
      <w:r>
        <w:t>renminbi</w:t>
      </w:r>
      <w:proofErr w:type="spellEnd"/>
      <w:r>
        <w:t>.</w:t>
      </w:r>
    </w:p>
    <w:p w:rsidR="00AE4447" w:rsidRDefault="00AE4447" w:rsidP="00AE4447">
      <w:pPr>
        <w:spacing w:line="276" w:lineRule="auto"/>
      </w:pPr>
      <w:r>
        <w:t>Čínští cestovatelé zatím preferují cesty na krátké vzdálenosti. Mnozí raději na víkend řídí pár hodin do neda</w:t>
      </w:r>
      <w:r w:rsidR="004179EF">
        <w:t>lekých měst, kde mohou zůstat přes noc</w:t>
      </w:r>
      <w:r>
        <w:t xml:space="preserve"> a utratit mnohem méně, než když jedou dál a cestují vlakem, nebo přímo letí.</w:t>
      </w:r>
    </w:p>
    <w:p w:rsidR="00AE4447" w:rsidRDefault="00AE4447" w:rsidP="00AE4447">
      <w:pPr>
        <w:spacing w:line="276" w:lineRule="auto"/>
      </w:pPr>
      <w:r>
        <w:t>„</w:t>
      </w:r>
      <w:r w:rsidRPr="004179EF">
        <w:rPr>
          <w:i/>
        </w:rPr>
        <w:t>Lidé cítí úlevu, že vyšli z toho nejhoršího, ale je nereálné očekávat jakékoli oživení ve tvaru písmene V,"</w:t>
      </w:r>
      <w:r>
        <w:t xml:space="preserve"> říká </w:t>
      </w:r>
      <w:proofErr w:type="spellStart"/>
      <w:r>
        <w:t>Hyomi</w:t>
      </w:r>
      <w:proofErr w:type="spellEnd"/>
      <w:r>
        <w:t xml:space="preserve"> </w:t>
      </w:r>
      <w:proofErr w:type="spellStart"/>
      <w:r>
        <w:t>Jie</w:t>
      </w:r>
      <w:proofErr w:type="spellEnd"/>
      <w:r>
        <w:t xml:space="preserve">, portfolio manažerka </w:t>
      </w:r>
      <w:proofErr w:type="spellStart"/>
      <w:r>
        <w:t>Fidelity</w:t>
      </w:r>
      <w:proofErr w:type="spellEnd"/>
      <w:r>
        <w:t xml:space="preserve"> International. </w:t>
      </w:r>
      <w:r w:rsidRPr="004179EF">
        <w:rPr>
          <w:i/>
        </w:rPr>
        <w:t>„V domácím cestovním ruchu můžeme vidět postupné oživení, ve kterém vede cestování na kratší vzdálenosti v rámci regionů, kde je virus dobře kontrolován. Co se týče zahraničních cest, zde je to horší</w:t>
      </w:r>
      <w:r>
        <w:t>.“</w:t>
      </w:r>
    </w:p>
    <w:p w:rsidR="00AE4447" w:rsidRDefault="00AE4447" w:rsidP="00AE4447">
      <w:pPr>
        <w:spacing w:line="276" w:lineRule="auto"/>
      </w:pPr>
      <w:r>
        <w:t xml:space="preserve">Může dojít k přesunu poptávky z cest do zahraničí na vnitrostátní cesty, protože Hongkong a Macao zůstávají z velké části uzavřeny pro pevninské návštěvníky. </w:t>
      </w:r>
      <w:r w:rsidR="004179EF">
        <w:t>Zájezdy do zámoří nejsou vhodné</w:t>
      </w:r>
      <w:r>
        <w:t xml:space="preserve"> vzhledem k četným omezením a karanténním opatřením po celém světě.</w:t>
      </w:r>
    </w:p>
    <w:p w:rsidR="00AE4447" w:rsidRDefault="00AE4447" w:rsidP="00AE4447">
      <w:pPr>
        <w:spacing w:line="276" w:lineRule="auto"/>
      </w:pPr>
      <w:r>
        <w:t xml:space="preserve">Co bude zapotřebí, aby se cestovní ruch v Číně plně zotavil? Vzhledem k tomu, že cestovní ruch je klíčovou součástí domácí spotřeby, vytvořili v Číně stimul na podporu tohoto odvětví. V různých provinciích jsou distribuovány turistické poukázky, které mohou cestující použít k platbě za prohlídky památek, stravování a nákupy. Úředníci města </w:t>
      </w:r>
      <w:proofErr w:type="spellStart"/>
      <w:r>
        <w:t>Huzhou</w:t>
      </w:r>
      <w:proofErr w:type="spellEnd"/>
      <w:r>
        <w:t xml:space="preserve"> ve východní provincii </w:t>
      </w:r>
      <w:proofErr w:type="spellStart"/>
      <w:r>
        <w:t>Zhejiang</w:t>
      </w:r>
      <w:proofErr w:type="spellEnd"/>
      <w:r>
        <w:t xml:space="preserve"> například od března rozdali turistům vouchery v hodnotě přes 200 milionů </w:t>
      </w:r>
      <w:proofErr w:type="spellStart"/>
      <w:r>
        <w:t>renminbi</w:t>
      </w:r>
      <w:proofErr w:type="spellEnd"/>
      <w:r>
        <w:t>.</w:t>
      </w:r>
    </w:p>
    <w:p w:rsidR="00A30105" w:rsidRDefault="00AE4447" w:rsidP="00AE4447">
      <w:pPr>
        <w:pStyle w:val="F2-zkladn"/>
        <w:tabs>
          <w:tab w:val="right" w:pos="9070"/>
        </w:tabs>
      </w:pPr>
      <w:r>
        <w:t xml:space="preserve">Je jasné, že tempo oživení bude záviset na důvěře čínských spotřebitelů v zachování </w:t>
      </w:r>
      <w:r w:rsidR="004179EF">
        <w:t>jejich</w:t>
      </w:r>
      <w:r>
        <w:t xml:space="preserve"> pracovní</w:t>
      </w:r>
      <w:r w:rsidR="004179EF">
        <w:t>ch míst</w:t>
      </w:r>
      <w:r>
        <w:t xml:space="preserve"> a v růst příjmů. Čína se doposud vyhýbala propouštění, ale je vidět, že se bude muset vypořádat s propadem celosvětové poptávky po čínském zboží. Cestování může být pro čínské spotřebitele střední třídy nedostupné, i když výdaj</w:t>
      </w:r>
      <w:r w:rsidR="004179EF">
        <w:t>e na cestování nejsou tak velké</w:t>
      </w:r>
      <w:r>
        <w:t xml:space="preserve"> jako na bydlení nebo vzdělání. V budoucnu bude klíčové sledovat údaje o zaměstnanosti, příjmu domácností a míře nesplácení podnikových úvěrů.</w:t>
      </w:r>
    </w:p>
    <w:p w:rsidR="00073A88" w:rsidRDefault="00073A88" w:rsidP="00AC35C4">
      <w:pPr>
        <w:pStyle w:val="F2-zkladn"/>
        <w:tabs>
          <w:tab w:val="right" w:pos="9070"/>
        </w:tabs>
        <w:rPr>
          <w:b/>
        </w:rPr>
      </w:pPr>
    </w:p>
    <w:p w:rsidR="001A0CB6" w:rsidRPr="009C3DB4" w:rsidRDefault="001A0CB6" w:rsidP="00AC35C4">
      <w:pPr>
        <w:pStyle w:val="F2-zkladn"/>
        <w:tabs>
          <w:tab w:val="right" w:pos="9070"/>
        </w:tabs>
        <w:rPr>
          <w:b/>
        </w:rPr>
      </w:pPr>
      <w:r w:rsidRPr="009C3DB4">
        <w:rPr>
          <w:b/>
        </w:rPr>
        <w:t>Pro více informací kontaktujte:</w:t>
      </w:r>
    </w:p>
    <w:p w:rsidR="001A0CB6" w:rsidRPr="009C3DB4" w:rsidRDefault="001A0CB6" w:rsidP="00AC35C4">
      <w:pPr>
        <w:spacing w:before="0" w:line="360" w:lineRule="auto"/>
        <w:rPr>
          <w:b/>
        </w:rPr>
      </w:pPr>
    </w:p>
    <w:p w:rsidR="001A0CB6" w:rsidRPr="009C3DB4" w:rsidRDefault="001A0CB6" w:rsidP="00AC35C4">
      <w:pPr>
        <w:spacing w:before="0" w:line="360" w:lineRule="auto"/>
        <w:rPr>
          <w:b/>
        </w:rPr>
      </w:pPr>
      <w:smartTag w:uri="urn:schemas-microsoft-com:office:smarttags" w:element="PersonName">
        <w:smartTagPr>
          <w:attr w:name="ProductID" w:val="Marcela Štefcová"/>
        </w:smartTagPr>
        <w:r w:rsidRPr="009C3DB4">
          <w:rPr>
            <w:b/>
          </w:rPr>
          <w:t>Marcela Štefcová</w:t>
        </w:r>
      </w:smartTag>
    </w:p>
    <w:p w:rsidR="001A0CB6" w:rsidRPr="009C3DB4" w:rsidRDefault="001A0CB6" w:rsidP="00AC35C4">
      <w:pPr>
        <w:spacing w:before="0" w:line="240" w:lineRule="atLeast"/>
        <w:rPr>
          <w:b/>
          <w:bCs/>
        </w:rPr>
      </w:pPr>
      <w:r w:rsidRPr="009C3DB4">
        <w:rPr>
          <w:b/>
          <w:bCs/>
        </w:rPr>
        <w:t>Crest Communications, a.s.</w:t>
      </w:r>
    </w:p>
    <w:p w:rsidR="001A0CB6" w:rsidRPr="009C3DB4" w:rsidRDefault="001A0CB6" w:rsidP="00AC35C4">
      <w:pPr>
        <w:spacing w:before="0" w:line="240" w:lineRule="atLeast"/>
      </w:pPr>
    </w:p>
    <w:p w:rsidR="001A0CB6" w:rsidRPr="009C3DB4" w:rsidRDefault="001A0CB6" w:rsidP="00AC35C4">
      <w:pPr>
        <w:spacing w:before="0" w:line="240" w:lineRule="atLeast"/>
      </w:pPr>
      <w:r w:rsidRPr="009C3DB4">
        <w:t>Ostrovní 126/30</w:t>
      </w:r>
    </w:p>
    <w:p w:rsidR="001A0CB6" w:rsidRPr="009C3DB4" w:rsidRDefault="001A0CB6" w:rsidP="00AC35C4">
      <w:pPr>
        <w:spacing w:before="0" w:line="240" w:lineRule="atLeast"/>
      </w:pPr>
      <w:r w:rsidRPr="009C3DB4">
        <w:t>110 00 Praha 1</w:t>
      </w:r>
    </w:p>
    <w:p w:rsidR="001A0CB6" w:rsidRPr="009C3DB4" w:rsidRDefault="001A0CB6" w:rsidP="00AC35C4">
      <w:pPr>
        <w:spacing w:before="0" w:line="240" w:lineRule="atLeast"/>
      </w:pPr>
      <w:proofErr w:type="spellStart"/>
      <w:r w:rsidRPr="009C3DB4">
        <w:t>gsm</w:t>
      </w:r>
      <w:proofErr w:type="spellEnd"/>
      <w:r w:rsidRPr="009C3DB4">
        <w:t>: + 420 731 613 669</w:t>
      </w:r>
    </w:p>
    <w:p w:rsidR="001A0CB6" w:rsidRPr="009C3DB4" w:rsidRDefault="00626A88" w:rsidP="00AC35C4">
      <w:pPr>
        <w:spacing w:before="0" w:line="240" w:lineRule="atLeast"/>
      </w:pPr>
      <w:hyperlink w:tooltip="blocked::http://www.crestcom.cz&#10;http://www.crestcom.cz/" w:history="1">
        <w:r w:rsidR="001A0CB6" w:rsidRPr="009C3DB4">
          <w:rPr>
            <w:rStyle w:val="Hypertextovodkaz"/>
            <w:color w:val="990033"/>
          </w:rPr>
          <w:t>www.crestcom.cz</w:t>
        </w:r>
      </w:hyperlink>
    </w:p>
    <w:p w:rsidR="001A0CB6" w:rsidRPr="009C3DB4" w:rsidRDefault="001A0CB6" w:rsidP="00AC35C4">
      <w:pPr>
        <w:spacing w:before="0" w:line="240" w:lineRule="atLeast"/>
      </w:pPr>
      <w:r w:rsidRPr="009C3DB4">
        <w:rPr>
          <w:color w:val="000000"/>
        </w:rPr>
        <w:t xml:space="preserve">e-mail: </w:t>
      </w:r>
      <w:hyperlink r:id="rId11" w:history="1">
        <w:r w:rsidRPr="009C3DB4">
          <w:rPr>
            <w:rStyle w:val="Hypertextovodkaz"/>
            <w:color w:val="990033"/>
          </w:rPr>
          <w:t>marcela.stefcova@crestcom.cz</w:t>
        </w:r>
      </w:hyperlink>
    </w:p>
    <w:p w:rsidR="00C16BE6" w:rsidRDefault="00C16BE6" w:rsidP="00C16BE6">
      <w:pPr>
        <w:pStyle w:val="F2-zkladn"/>
        <w:rPr>
          <w:b/>
        </w:rPr>
      </w:pPr>
      <w:r w:rsidRPr="009C3DB4">
        <w:rPr>
          <w:b/>
        </w:rPr>
        <w:t>Informace pro editory:</w:t>
      </w:r>
    </w:p>
    <w:p w:rsidR="00C16BE6" w:rsidRPr="00645857" w:rsidRDefault="00C16BE6" w:rsidP="00C16BE6">
      <w:pPr>
        <w:shd w:val="clear" w:color="auto" w:fill="FFFFFF"/>
        <w:spacing w:before="100" w:beforeAutospacing="1" w:after="100" w:afterAutospacing="1" w:line="240" w:lineRule="auto"/>
        <w:rPr>
          <w:rFonts w:eastAsia="Calibri"/>
          <w:sz w:val="18"/>
          <w:lang w:eastAsia="en-US"/>
        </w:rPr>
      </w:pPr>
      <w:proofErr w:type="spellStart"/>
      <w:r w:rsidRPr="008F1A81">
        <w:rPr>
          <w:b/>
          <w:sz w:val="18"/>
        </w:rPr>
        <w:t>Fidelity</w:t>
      </w:r>
      <w:proofErr w:type="spellEnd"/>
      <w:r w:rsidRPr="008F1A81">
        <w:rPr>
          <w:b/>
          <w:sz w:val="18"/>
        </w:rPr>
        <w:t xml:space="preserve"> International </w:t>
      </w:r>
      <w:r w:rsidRPr="008F1A81">
        <w:rPr>
          <w:sz w:val="18"/>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w:t>
      </w:r>
      <w:r>
        <w:rPr>
          <w:sz w:val="18"/>
        </w:rPr>
        <w:t>kongu, Toki</w:t>
      </w:r>
      <w:r w:rsidRPr="008F1A81">
        <w:rPr>
          <w:sz w:val="18"/>
        </w:rPr>
        <w:t xml:space="preserve">u, Singapuru, Soulu, </w:t>
      </w:r>
      <w:r>
        <w:rPr>
          <w:sz w:val="18"/>
        </w:rPr>
        <w:t>Dillí</w:t>
      </w:r>
      <w:r w:rsidRPr="008F1A81">
        <w:rPr>
          <w:sz w:val="18"/>
        </w:rPr>
        <w:t xml:space="preserve">, </w:t>
      </w:r>
      <w:r>
        <w:rPr>
          <w:sz w:val="18"/>
        </w:rPr>
        <w:t>Bombaji</w:t>
      </w:r>
      <w:r w:rsidRPr="008F1A81">
        <w:rPr>
          <w:sz w:val="18"/>
        </w:rPr>
        <w:t xml:space="preserve"> a v Sydney. V současné době administruje aktiva ve výši 87 mld</w:t>
      </w:r>
      <w:r>
        <w:rPr>
          <w:sz w:val="18"/>
        </w:rPr>
        <w:t>.</w:t>
      </w:r>
      <w:r w:rsidRPr="008F1A81">
        <w:rPr>
          <w:sz w:val="18"/>
        </w:rPr>
        <w:t xml:space="preserve"> USD (</w:t>
      </w:r>
      <w:proofErr w:type="spellStart"/>
      <w:r w:rsidRPr="008F1A81">
        <w:rPr>
          <w:sz w:val="18"/>
        </w:rPr>
        <w:t>assets</w:t>
      </w:r>
      <w:proofErr w:type="spellEnd"/>
      <w:r w:rsidRPr="008F1A81">
        <w:rPr>
          <w:sz w:val="18"/>
        </w:rPr>
        <w:t xml:space="preserve"> </w:t>
      </w:r>
      <w:proofErr w:type="spellStart"/>
      <w:r w:rsidRPr="008F1A81">
        <w:rPr>
          <w:sz w:val="18"/>
        </w:rPr>
        <w:t>under</w:t>
      </w:r>
      <w:proofErr w:type="spellEnd"/>
      <w:r w:rsidRPr="008F1A81">
        <w:rPr>
          <w:sz w:val="18"/>
        </w:rPr>
        <w:t xml:space="preserve"> </w:t>
      </w:r>
      <w:proofErr w:type="spellStart"/>
      <w:r w:rsidRPr="008F1A81">
        <w:rPr>
          <w:sz w:val="18"/>
        </w:rPr>
        <w:t>administration</w:t>
      </w:r>
      <w:proofErr w:type="spellEnd"/>
      <w:r w:rsidRPr="008F1A81">
        <w:rPr>
          <w:sz w:val="18"/>
        </w:rPr>
        <w:t xml:space="preserve">) a globálně pro </w:t>
      </w:r>
      <w:r w:rsidRPr="008F1A81">
        <w:rPr>
          <w:sz w:val="18"/>
        </w:rPr>
        <w:lastRenderedPageBreak/>
        <w:t>klienty invest</w:t>
      </w:r>
      <w:r>
        <w:rPr>
          <w:sz w:val="18"/>
        </w:rPr>
        <w:t>ovala</w:t>
      </w:r>
      <w:r w:rsidRPr="008F1A81">
        <w:rPr>
          <w:sz w:val="18"/>
        </w:rPr>
        <w:t xml:space="preserve"> 290 mld</w:t>
      </w:r>
      <w:r>
        <w:rPr>
          <w:sz w:val="18"/>
        </w:rPr>
        <w:t>.</w:t>
      </w:r>
      <w:r w:rsidRPr="008F1A81">
        <w:rPr>
          <w:sz w:val="18"/>
        </w:rPr>
        <w:t xml:space="preserve"> USD ve 25 zemích napříč Evropou, Asií, Tichomořím, středním Východem a jižní Amerikou. V </w:t>
      </w:r>
      <w:r w:rsidRPr="00645857">
        <w:rPr>
          <w:rFonts w:eastAsia="Calibri"/>
          <w:sz w:val="18"/>
          <w:lang w:eastAsia="en-US"/>
        </w:rPr>
        <w:t xml:space="preserve">České republice </w:t>
      </w:r>
      <w:proofErr w:type="spellStart"/>
      <w:r w:rsidRPr="00645857">
        <w:rPr>
          <w:rFonts w:eastAsia="Calibri"/>
          <w:sz w:val="18"/>
          <w:lang w:eastAsia="en-US"/>
        </w:rPr>
        <w:t>Fidelity</w:t>
      </w:r>
      <w:proofErr w:type="spellEnd"/>
      <w:r w:rsidRPr="00645857">
        <w:rPr>
          <w:rFonts w:eastAsia="Calibri"/>
          <w:sz w:val="18"/>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rsidR="00C16BE6" w:rsidRPr="00FA269B" w:rsidRDefault="00C16BE6" w:rsidP="00C16BE6">
      <w:pPr>
        <w:pStyle w:val="F2-zkladn"/>
        <w:rPr>
          <w:b/>
        </w:rPr>
      </w:pPr>
      <w:r w:rsidRPr="00FA269B">
        <w:rPr>
          <w:b/>
        </w:rPr>
        <w:t>Upozornění na rizika</w:t>
      </w:r>
    </w:p>
    <w:p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w:t>
      </w:r>
      <w:r>
        <w:rPr>
          <w:sz w:val="18"/>
          <w:szCs w:val="18"/>
        </w:rPr>
        <w:t xml:space="preserve">o </w:t>
      </w:r>
      <w:r w:rsidRPr="00FA269B">
        <w:rPr>
          <w:sz w:val="18"/>
          <w:szCs w:val="18"/>
        </w:rPr>
        <w:t xml:space="preserve">nejnovější půlroční zprávu. Tyto dokumenty tvoří jediný závazný základ pro nákup. Tyto dokumenty získáte bezplatně v pobočce FIL </w:t>
      </w:r>
      <w:proofErr w:type="spellStart"/>
      <w:r w:rsidRPr="00FA269B">
        <w:rPr>
          <w:sz w:val="18"/>
          <w:szCs w:val="18"/>
        </w:rPr>
        <w:t>Investment</w:t>
      </w:r>
      <w:proofErr w:type="spellEnd"/>
      <w:r w:rsidRPr="00FA269B">
        <w:rPr>
          <w:sz w:val="18"/>
          <w:szCs w:val="18"/>
        </w:rPr>
        <w:t xml:space="preserve"> </w:t>
      </w:r>
      <w:proofErr w:type="spellStart"/>
      <w:r w:rsidRPr="00FA269B">
        <w:rPr>
          <w:sz w:val="18"/>
          <w:szCs w:val="18"/>
        </w:rPr>
        <w:t>Services</w:t>
      </w:r>
      <w:proofErr w:type="spellEnd"/>
      <w:r w:rsidRPr="00FA269B">
        <w:rPr>
          <w:sz w:val="18"/>
          <w:szCs w:val="18"/>
        </w:rPr>
        <w:t xml:space="preserve"> </w:t>
      </w:r>
      <w:proofErr w:type="spellStart"/>
      <w:r w:rsidRPr="00FA269B">
        <w:rPr>
          <w:sz w:val="18"/>
          <w:szCs w:val="18"/>
        </w:rPr>
        <w:t>GmbH</w:t>
      </w:r>
      <w:proofErr w:type="spellEnd"/>
      <w:r w:rsidRPr="00FA269B">
        <w:rPr>
          <w:sz w:val="18"/>
          <w:szCs w:val="18"/>
        </w:rPr>
        <w:t xml:space="preserve">, </w:t>
      </w:r>
      <w:proofErr w:type="spellStart"/>
      <w:r w:rsidRPr="00FA269B">
        <w:rPr>
          <w:sz w:val="18"/>
          <w:szCs w:val="18"/>
        </w:rPr>
        <w:t>Kastanienhöhe</w:t>
      </w:r>
      <w:proofErr w:type="spellEnd"/>
      <w:r w:rsidRPr="00FA269B">
        <w:rPr>
          <w:sz w:val="18"/>
          <w:szCs w:val="18"/>
        </w:rPr>
        <w:t xml:space="preserve"> 1, D-61476 </w:t>
      </w:r>
      <w:proofErr w:type="spellStart"/>
      <w:r w:rsidRPr="00FA269B">
        <w:rPr>
          <w:sz w:val="18"/>
          <w:szCs w:val="18"/>
        </w:rPr>
        <w:t>Kronberg</w:t>
      </w:r>
      <w:proofErr w:type="spellEnd"/>
      <w:r w:rsidRPr="00FA269B">
        <w:rPr>
          <w:sz w:val="18"/>
          <w:szCs w:val="18"/>
        </w:rPr>
        <w:t xml:space="preserve"> </w:t>
      </w:r>
      <w:proofErr w:type="spellStart"/>
      <w:r w:rsidRPr="00FA269B">
        <w:rPr>
          <w:sz w:val="18"/>
          <w:szCs w:val="18"/>
        </w:rPr>
        <w:t>im</w:t>
      </w:r>
      <w:proofErr w:type="spellEnd"/>
      <w:r w:rsidRPr="00FA269B">
        <w:rPr>
          <w:sz w:val="18"/>
          <w:szCs w:val="18"/>
        </w:rPr>
        <w:t xml:space="preserve"> </w:t>
      </w:r>
      <w:proofErr w:type="spellStart"/>
      <w:r w:rsidRPr="00FA269B">
        <w:rPr>
          <w:sz w:val="18"/>
          <w:szCs w:val="18"/>
        </w:rPr>
        <w:t>Taunus</w:t>
      </w:r>
      <w:proofErr w:type="spellEnd"/>
      <w:r w:rsidRPr="00FA269B">
        <w:rPr>
          <w:sz w:val="18"/>
          <w:szCs w:val="18"/>
        </w:rPr>
        <w:t xml:space="preserve">, Německo, nebo v </w:t>
      </w:r>
      <w:proofErr w:type="spellStart"/>
      <w:r w:rsidRPr="00FA269B">
        <w:rPr>
          <w:sz w:val="18"/>
          <w:szCs w:val="18"/>
        </w:rPr>
        <w:t>UniCredit</w:t>
      </w:r>
      <w:proofErr w:type="spellEnd"/>
      <w:r w:rsidRPr="00FA269B">
        <w:rPr>
          <w:sz w:val="18"/>
          <w:szCs w:val="18"/>
        </w:rPr>
        <w:t xml:space="preserve"> Bank </w:t>
      </w:r>
      <w:proofErr w:type="spellStart"/>
      <w:r w:rsidRPr="00FA269B">
        <w:rPr>
          <w:sz w:val="18"/>
          <w:szCs w:val="18"/>
        </w:rPr>
        <w:t>Austria</w:t>
      </w:r>
      <w:proofErr w:type="spellEnd"/>
      <w:r w:rsidRPr="00FA269B">
        <w:rPr>
          <w:sz w:val="18"/>
          <w:szCs w:val="18"/>
        </w:rPr>
        <w:t xml:space="preserve"> AG, </w:t>
      </w:r>
      <w:proofErr w:type="spellStart"/>
      <w:r w:rsidRPr="00FA269B">
        <w:rPr>
          <w:sz w:val="18"/>
          <w:szCs w:val="18"/>
        </w:rPr>
        <w:t>Vordere</w:t>
      </w:r>
      <w:proofErr w:type="spellEnd"/>
      <w:r w:rsidRPr="00FA269B">
        <w:rPr>
          <w:sz w:val="18"/>
          <w:szCs w:val="18"/>
        </w:rPr>
        <w:t xml:space="preserve"> </w:t>
      </w:r>
      <w:proofErr w:type="spellStart"/>
      <w:r w:rsidRPr="00FA269B">
        <w:rPr>
          <w:sz w:val="18"/>
          <w:szCs w:val="18"/>
        </w:rPr>
        <w:t>Zollamtstrasse</w:t>
      </w:r>
      <w:proofErr w:type="spellEnd"/>
      <w:r w:rsidRPr="00FA269B">
        <w:rPr>
          <w:sz w:val="18"/>
          <w:szCs w:val="18"/>
        </w:rPr>
        <w:t xml:space="preserve"> 13, A-1030 Vídeň, nebo v </w:t>
      </w:r>
      <w:proofErr w:type="spellStart"/>
      <w:r w:rsidRPr="00FA269B">
        <w:rPr>
          <w:sz w:val="18"/>
          <w:szCs w:val="18"/>
        </w:rPr>
        <w:t>UniCredit</w:t>
      </w:r>
      <w:proofErr w:type="spellEnd"/>
      <w:r w:rsidRPr="00FA269B">
        <w:rPr>
          <w:sz w:val="18"/>
          <w:szCs w:val="18"/>
        </w:rPr>
        <w:t xml:space="preserve"> Bank Slovakia, a. s., </w:t>
      </w:r>
      <w:proofErr w:type="spellStart"/>
      <w:r w:rsidRPr="00FA269B">
        <w:rPr>
          <w:sz w:val="18"/>
          <w:szCs w:val="18"/>
        </w:rPr>
        <w:t>Šancova</w:t>
      </w:r>
      <w:proofErr w:type="spellEnd"/>
      <w:r w:rsidRPr="00FA269B">
        <w:rPr>
          <w:sz w:val="18"/>
          <w:szCs w:val="18"/>
        </w:rPr>
        <w:t xml:space="preserve"> 1/A, 813 33 Bratislava, nebo v </w:t>
      </w:r>
      <w:proofErr w:type="spellStart"/>
      <w:r w:rsidRPr="00FA269B">
        <w:rPr>
          <w:sz w:val="18"/>
          <w:szCs w:val="18"/>
        </w:rPr>
        <w:t>Unicredit</w:t>
      </w:r>
      <w:proofErr w:type="spellEnd"/>
      <w:r w:rsidRPr="00FA269B">
        <w:rPr>
          <w:sz w:val="18"/>
          <w:szCs w:val="18"/>
        </w:rPr>
        <w:t xml:space="preserve"> Bank Czech Republic, a. s., náměstí Republiky 3a, 111 21 Praha 1, nebo na adresách www.fidelity.at, www.fidelity.cz, www.fidelity.sk.</w:t>
      </w:r>
    </w:p>
    <w:p w:rsidR="00C16BE6" w:rsidRDefault="00C16BE6" w:rsidP="00C16BE6">
      <w:pPr>
        <w:pStyle w:val="F2-zkladn"/>
        <w:spacing w:line="240" w:lineRule="auto"/>
        <w:rPr>
          <w:b/>
          <w:sz w:val="18"/>
          <w:szCs w:val="18"/>
        </w:rPr>
      </w:pPr>
      <w:r>
        <w:rPr>
          <w:b/>
          <w:sz w:val="18"/>
          <w:szCs w:val="18"/>
        </w:rPr>
        <w:t>Vydává</w:t>
      </w:r>
    </w:p>
    <w:p w:rsidR="00C16BE6" w:rsidRPr="00FA269B" w:rsidRDefault="00C16BE6" w:rsidP="00C16BE6">
      <w:pPr>
        <w:pStyle w:val="F2-zkladn"/>
        <w:spacing w:line="240" w:lineRule="auto"/>
        <w:rPr>
          <w:b/>
          <w:sz w:val="18"/>
          <w:szCs w:val="18"/>
        </w:rPr>
      </w:pPr>
      <w:r w:rsidRPr="00FA269B">
        <w:rPr>
          <w:sz w:val="18"/>
          <w:szCs w:val="18"/>
        </w:rPr>
        <w:t>FIL (</w:t>
      </w:r>
      <w:proofErr w:type="spellStart"/>
      <w:r w:rsidRPr="00FA269B">
        <w:rPr>
          <w:sz w:val="18"/>
          <w:szCs w:val="18"/>
        </w:rPr>
        <w:t>Luxembourg</w:t>
      </w:r>
      <w:proofErr w:type="spellEnd"/>
      <w:r w:rsidRPr="00FA269B">
        <w:rPr>
          <w:sz w:val="18"/>
          <w:szCs w:val="18"/>
        </w:rPr>
        <w:t xml:space="preserve">) S.A. </w:t>
      </w:r>
      <w:proofErr w:type="spellStart"/>
      <w:r w:rsidRPr="00FA269B">
        <w:rPr>
          <w:sz w:val="18"/>
          <w:szCs w:val="18"/>
        </w:rPr>
        <w:t>Zweigniederlassung</w:t>
      </w:r>
      <w:proofErr w:type="spellEnd"/>
      <w:r w:rsidRPr="00FA269B">
        <w:rPr>
          <w:sz w:val="18"/>
          <w:szCs w:val="18"/>
        </w:rPr>
        <w:t xml:space="preserve"> </w:t>
      </w:r>
      <w:proofErr w:type="spellStart"/>
      <w:r w:rsidRPr="00FA269B">
        <w:rPr>
          <w:sz w:val="18"/>
          <w:szCs w:val="18"/>
        </w:rPr>
        <w:t>Wien</w:t>
      </w:r>
      <w:proofErr w:type="spellEnd"/>
      <w:r w:rsidRPr="00FA269B">
        <w:rPr>
          <w:sz w:val="18"/>
          <w:szCs w:val="18"/>
        </w:rPr>
        <w:t xml:space="preserve">, </w:t>
      </w:r>
      <w:proofErr w:type="spellStart"/>
      <w:r w:rsidRPr="00FA269B">
        <w:rPr>
          <w:sz w:val="18"/>
          <w:szCs w:val="18"/>
        </w:rPr>
        <w:t>Mariahilfer</w:t>
      </w:r>
      <w:proofErr w:type="spellEnd"/>
      <w:r w:rsidRPr="00FA269B">
        <w:rPr>
          <w:sz w:val="18"/>
          <w:szCs w:val="18"/>
        </w:rPr>
        <w:t xml:space="preserve"> </w:t>
      </w:r>
      <w:proofErr w:type="spellStart"/>
      <w:r w:rsidRPr="00FA269B">
        <w:rPr>
          <w:sz w:val="18"/>
          <w:szCs w:val="18"/>
        </w:rPr>
        <w:t>Straße</w:t>
      </w:r>
      <w:proofErr w:type="spellEnd"/>
      <w:r w:rsidRPr="00FA269B">
        <w:rPr>
          <w:sz w:val="18"/>
          <w:szCs w:val="18"/>
        </w:rPr>
        <w:t xml:space="preserve"> 36, 1070 Vídeň, IČO: FN 374007 </w:t>
      </w:r>
    </w:p>
    <w:p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w:t>
      </w:r>
      <w:proofErr w:type="spellStart"/>
      <w:r w:rsidRPr="00FA269B">
        <w:rPr>
          <w:sz w:val="18"/>
          <w:szCs w:val="18"/>
        </w:rPr>
        <w:t>Fidelity</w:t>
      </w:r>
      <w:proofErr w:type="spellEnd"/>
      <w:r w:rsidRPr="00FA269B">
        <w:rPr>
          <w:sz w:val="18"/>
          <w:szCs w:val="18"/>
        </w:rPr>
        <w:t xml:space="preserve"> International, logo </w:t>
      </w:r>
      <w:proofErr w:type="spellStart"/>
      <w:r w:rsidRPr="00FA269B">
        <w:rPr>
          <w:sz w:val="18"/>
          <w:szCs w:val="18"/>
        </w:rPr>
        <w:t>Fidelity</w:t>
      </w:r>
      <w:proofErr w:type="spellEnd"/>
      <w:r w:rsidRPr="00FA269B">
        <w:rPr>
          <w:sz w:val="18"/>
          <w:szCs w:val="18"/>
        </w:rPr>
        <w:t xml:space="preserve"> International a symbol F jsou registrované ochranné známky společnosti FIL Limited.</w:t>
      </w:r>
    </w:p>
    <w:p w:rsidR="00A82FF0" w:rsidRDefault="00A82FF0" w:rsidP="00A82FF0">
      <w:pPr>
        <w:pStyle w:val="F2-zkladn"/>
        <w:spacing w:line="240" w:lineRule="auto"/>
        <w:rPr>
          <w:b/>
          <w:bCs/>
          <w:color w:val="000000"/>
          <w:sz w:val="18"/>
          <w:szCs w:val="18"/>
          <w:shd w:val="clear" w:color="auto" w:fill="FFFFFF"/>
        </w:rPr>
      </w:pPr>
      <w:r>
        <w:rPr>
          <w:b/>
          <w:bCs/>
          <w:color w:val="000000"/>
          <w:sz w:val="18"/>
          <w:szCs w:val="18"/>
          <w:shd w:val="clear" w:color="auto" w:fill="FFFFFF"/>
        </w:rPr>
        <w:t xml:space="preserve">Notes to </w:t>
      </w:r>
      <w:proofErr w:type="spellStart"/>
      <w:r>
        <w:rPr>
          <w:b/>
          <w:bCs/>
          <w:color w:val="000000"/>
          <w:sz w:val="18"/>
          <w:szCs w:val="18"/>
          <w:shd w:val="clear" w:color="auto" w:fill="FFFFFF"/>
        </w:rPr>
        <w:t>editors</w:t>
      </w:r>
      <w:proofErr w:type="spellEnd"/>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UCITS II ICAV is registered in </w:t>
      </w:r>
      <w:smartTag w:uri="urn:schemas-microsoft-com:office:smarttags" w:element="country-region">
        <w:r w:rsidRPr="00681745">
          <w:rPr>
            <w:color w:val="000000"/>
            <w:sz w:val="18"/>
            <w:szCs w:val="18"/>
            <w:lang w:val="en-US"/>
          </w:rPr>
          <w:t>Ireland</w:t>
        </w:r>
      </w:smartTag>
      <w:r w:rsidRPr="00681745">
        <w:rPr>
          <w:color w:val="000000"/>
          <w:sz w:val="18"/>
          <w:szCs w:val="18"/>
          <w:lang w:val="en-US"/>
        </w:rPr>
        <w:t xml:space="preserve"> pursuant to the Irish Collective Asset-management Vehicles Act 2015 and is </w:t>
      </w:r>
      <w:proofErr w:type="spellStart"/>
      <w:r w:rsidRPr="00681745">
        <w:rPr>
          <w:color w:val="000000"/>
          <w:sz w:val="18"/>
          <w:szCs w:val="18"/>
          <w:lang w:val="en-US"/>
        </w:rPr>
        <w:t>authorised</w:t>
      </w:r>
      <w:proofErr w:type="spellEnd"/>
      <w:r w:rsidRPr="00681745">
        <w:rPr>
          <w:color w:val="000000"/>
          <w:sz w:val="18"/>
          <w:szCs w:val="18"/>
          <w:lang w:val="en-US"/>
        </w:rPr>
        <w:t xml:space="preserve"> by the Central Bank of </w:t>
      </w:r>
      <w:smartTag w:uri="urn:schemas-microsoft-com:office:smarttags" w:element="place">
        <w:smartTag w:uri="urn:schemas-microsoft-com:office:smarttags" w:element="country-region">
          <w:r w:rsidRPr="00681745">
            <w:rPr>
              <w:color w:val="000000"/>
              <w:sz w:val="18"/>
              <w:szCs w:val="18"/>
              <w:lang w:val="en-US"/>
            </w:rPr>
            <w:t>Ireland</w:t>
          </w:r>
        </w:smartTag>
      </w:smartTag>
      <w:r w:rsidRPr="00681745">
        <w:rPr>
          <w:color w:val="000000"/>
          <w:sz w:val="18"/>
          <w:szCs w:val="18"/>
          <w:lang w:val="en-US"/>
        </w:rPr>
        <w:t xml:space="preserve"> as a UCITS.</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only offers information on products and services and does not provide investment advice based on individual circumstances, other than when specifically stipulated by an appropriately </w:t>
      </w:r>
      <w:proofErr w:type="spellStart"/>
      <w:r w:rsidRPr="00681745">
        <w:rPr>
          <w:color w:val="000000"/>
          <w:sz w:val="18"/>
          <w:szCs w:val="18"/>
          <w:lang w:val="en-US"/>
        </w:rPr>
        <w:t>authorised</w:t>
      </w:r>
      <w:proofErr w:type="spellEnd"/>
      <w:r w:rsidRPr="00681745">
        <w:rPr>
          <w:color w:val="000000"/>
          <w:sz w:val="18"/>
          <w:szCs w:val="18"/>
          <w:lang w:val="en-US"/>
        </w:rPr>
        <w:t xml:space="preserve"> firm, in a formal communication with the client.</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International refers to the group of companies which form the global investment management </w:t>
      </w:r>
      <w:proofErr w:type="spellStart"/>
      <w:r w:rsidRPr="00681745">
        <w:rPr>
          <w:color w:val="000000"/>
          <w:sz w:val="18"/>
          <w:szCs w:val="18"/>
          <w:lang w:val="en-US"/>
        </w:rPr>
        <w:t>organisation</w:t>
      </w:r>
      <w:proofErr w:type="spellEnd"/>
      <w:r w:rsidRPr="00681745">
        <w:rPr>
          <w:color w:val="000000"/>
          <w:sz w:val="18"/>
          <w:szCs w:val="18"/>
          <w:lang w:val="en-US"/>
        </w:rPr>
        <w:t xml:space="preserve"> that provides information on products and services in designated jurisdictions outside of </w:t>
      </w:r>
      <w:smartTag w:uri="urn:schemas-microsoft-com:office:smarttags" w:element="place">
        <w:r w:rsidRPr="00681745">
          <w:rPr>
            <w:color w:val="000000"/>
            <w:sz w:val="18"/>
            <w:szCs w:val="18"/>
            <w:lang w:val="en-US"/>
          </w:rPr>
          <w:t>North America</w:t>
        </w:r>
      </w:smartTag>
      <w:r w:rsidRPr="00681745">
        <w:rPr>
          <w:color w:val="000000"/>
          <w:sz w:val="18"/>
          <w:szCs w:val="18"/>
          <w:lang w:val="en-US"/>
        </w:rPr>
        <w:t xml:space="preserve">. This communication is not directed at, and must not be acted upon by persons inside the </w:t>
      </w:r>
      <w:smartTag w:uri="urn:schemas-microsoft-com:office:smarttags" w:element="place">
        <w:smartTag w:uri="urn:schemas-microsoft-com:office:smarttags" w:element="country-region">
          <w:r w:rsidRPr="00681745">
            <w:rPr>
              <w:color w:val="000000"/>
              <w:sz w:val="18"/>
              <w:szCs w:val="18"/>
              <w:lang w:val="en-US"/>
            </w:rPr>
            <w:t>United States</w:t>
          </w:r>
        </w:smartTag>
      </w:smartTag>
      <w:r w:rsidRPr="00681745">
        <w:rPr>
          <w:color w:val="000000"/>
          <w:sz w:val="18"/>
          <w:szCs w:val="18"/>
          <w:lang w:val="en-US"/>
        </w:rPr>
        <w:t xml:space="preserve"> and is otherwise only directed at persons residing in jurisdictions where the relevant funds are </w:t>
      </w:r>
      <w:proofErr w:type="spellStart"/>
      <w:r w:rsidRPr="00681745">
        <w:rPr>
          <w:color w:val="000000"/>
          <w:sz w:val="18"/>
          <w:szCs w:val="18"/>
          <w:lang w:val="en-US"/>
        </w:rPr>
        <w:t>authorised</w:t>
      </w:r>
      <w:proofErr w:type="spellEnd"/>
      <w:r w:rsidRPr="00681745">
        <w:rPr>
          <w:color w:val="000000"/>
          <w:sz w:val="18"/>
          <w:szCs w:val="18"/>
          <w:lang w:val="en-US"/>
        </w:rPr>
        <w:t xml:space="preserve"> for distribution or where no such </w:t>
      </w:r>
      <w:proofErr w:type="spellStart"/>
      <w:r w:rsidRPr="00681745">
        <w:rPr>
          <w:color w:val="000000"/>
          <w:sz w:val="18"/>
          <w:szCs w:val="18"/>
          <w:lang w:val="en-US"/>
        </w:rPr>
        <w:t>authorisation</w:t>
      </w:r>
      <w:proofErr w:type="spellEnd"/>
      <w:r w:rsidRPr="00681745">
        <w:rPr>
          <w:color w:val="000000"/>
          <w:sz w:val="18"/>
          <w:szCs w:val="18"/>
          <w:lang w:val="en-US"/>
        </w:rPr>
        <w:t xml:space="preserve"> is required.</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b/>
          <w:bCs/>
          <w:color w:val="000000"/>
          <w:sz w:val="18"/>
          <w:szCs w:val="18"/>
          <w:lang w:val="en-US"/>
        </w:rPr>
        <w:t>We recommend that you obtain detailed information before taking any investment decision.</w:t>
      </w:r>
      <w:r w:rsidRPr="00681745">
        <w:rPr>
          <w:color w:val="000000"/>
          <w:sz w:val="18"/>
          <w:szCs w:val="18"/>
          <w:lang w:val="en-US"/>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681745">
        <w:rPr>
          <w:b/>
          <w:bCs/>
          <w:color w:val="000000"/>
          <w:sz w:val="18"/>
          <w:szCs w:val="18"/>
          <w:lang w:val="en-US"/>
        </w:rPr>
        <w:t>European Service Centre in Luxembourg</w:t>
      </w:r>
      <w:r w:rsidRPr="00681745">
        <w:rPr>
          <w:color w:val="000000"/>
          <w:sz w:val="18"/>
          <w:szCs w:val="18"/>
          <w:lang w:val="en-US"/>
        </w:rPr>
        <w:t xml:space="preserve">, FIL (Luxembourg) S.A. 2a, rue Albert </w:t>
      </w:r>
      <w:proofErr w:type="spellStart"/>
      <w:r w:rsidRPr="00681745">
        <w:rPr>
          <w:color w:val="000000"/>
          <w:sz w:val="18"/>
          <w:szCs w:val="18"/>
          <w:lang w:val="en-US"/>
        </w:rPr>
        <w:t>Borschette</w:t>
      </w:r>
      <w:proofErr w:type="spellEnd"/>
      <w:r w:rsidRPr="00681745">
        <w:rPr>
          <w:color w:val="000000"/>
          <w:sz w:val="18"/>
          <w:szCs w:val="18"/>
          <w:lang w:val="en-US"/>
        </w:rPr>
        <w:t xml:space="preserve"> BP 2174 L-1021 Luxembourg. </w:t>
      </w:r>
      <w:smartTag w:uri="urn:schemas-microsoft-com:office:smarttags" w:element="country-region">
        <w:r w:rsidRPr="00681745">
          <w:rPr>
            <w:b/>
            <w:bCs/>
            <w:color w:val="000000"/>
            <w:sz w:val="18"/>
            <w:szCs w:val="18"/>
            <w:lang w:val="en-US"/>
          </w:rPr>
          <w:t>Austria</w:t>
        </w:r>
      </w:smartTag>
      <w:r w:rsidRPr="00681745">
        <w:rPr>
          <w:color w:val="000000"/>
          <w:sz w:val="18"/>
          <w:szCs w:val="18"/>
          <w:lang w:val="en-US"/>
        </w:rPr>
        <w:t xml:space="preserve">: Our Austrian paying agent </w:t>
      </w:r>
      <w:proofErr w:type="spellStart"/>
      <w:r w:rsidRPr="00681745">
        <w:rPr>
          <w:color w:val="000000"/>
          <w:sz w:val="18"/>
          <w:szCs w:val="18"/>
          <w:lang w:val="en-US"/>
        </w:rPr>
        <w:t>UniCredit</w:t>
      </w:r>
      <w:proofErr w:type="spellEnd"/>
      <w:r w:rsidRPr="00681745">
        <w:rPr>
          <w:color w:val="000000"/>
          <w:sz w:val="18"/>
          <w:szCs w:val="18"/>
          <w:lang w:val="en-US"/>
        </w:rPr>
        <w:t xml:space="preserve"> Bank Austria AG, </w:t>
      </w:r>
      <w:proofErr w:type="spellStart"/>
      <w:r w:rsidRPr="00681745">
        <w:rPr>
          <w:color w:val="000000"/>
          <w:sz w:val="18"/>
          <w:szCs w:val="18"/>
          <w:lang w:val="en-US"/>
        </w:rPr>
        <w:t>Schottengasse</w:t>
      </w:r>
      <w:proofErr w:type="spellEnd"/>
      <w:r w:rsidRPr="00681745">
        <w:rPr>
          <w:color w:val="000000"/>
          <w:sz w:val="18"/>
          <w:szCs w:val="18"/>
          <w:lang w:val="en-US"/>
        </w:rPr>
        <w:t xml:space="preserve"> 6-8, 1010 </w:t>
      </w:r>
      <w:smartTag w:uri="urn:schemas-microsoft-com:office:smarttags" w:element="place">
        <w:smartTag w:uri="urn:schemas-microsoft-com:office:smarttags" w:element="City">
          <w:r w:rsidRPr="00681745">
            <w:rPr>
              <w:color w:val="000000"/>
              <w:sz w:val="18"/>
              <w:szCs w:val="18"/>
              <w:lang w:val="en-US"/>
            </w:rPr>
            <w:t>Vienna</w:t>
          </w:r>
        </w:smartTag>
        <w:r w:rsidRPr="00681745">
          <w:rPr>
            <w:color w:val="000000"/>
            <w:sz w:val="18"/>
            <w:szCs w:val="18"/>
            <w:lang w:val="en-US"/>
          </w:rPr>
          <w:t xml:space="preserve">, </w:t>
        </w:r>
        <w:smartTag w:uri="urn:schemas-microsoft-com:office:smarttags" w:element="country-region">
          <w:r w:rsidRPr="00681745">
            <w:rPr>
              <w:color w:val="000000"/>
              <w:sz w:val="18"/>
              <w:szCs w:val="18"/>
              <w:lang w:val="en-US"/>
            </w:rPr>
            <w:t>Austria</w:t>
          </w:r>
        </w:smartTag>
      </w:smartTag>
      <w:r w:rsidRPr="00681745">
        <w:rPr>
          <w:color w:val="000000"/>
          <w:sz w:val="18"/>
          <w:szCs w:val="18"/>
          <w:lang w:val="en-US"/>
        </w:rPr>
        <w:t xml:space="preserve"> or on www.fidelity.at. </w:t>
      </w:r>
      <w:r w:rsidRPr="00681745">
        <w:rPr>
          <w:b/>
          <w:bCs/>
          <w:color w:val="000000"/>
          <w:sz w:val="18"/>
          <w:szCs w:val="18"/>
          <w:lang w:val="en-US"/>
        </w:rPr>
        <w:t>Czech Republic</w:t>
      </w:r>
      <w:r w:rsidRPr="00681745">
        <w:rPr>
          <w:color w:val="000000"/>
          <w:sz w:val="18"/>
          <w:szCs w:val="18"/>
          <w:lang w:val="en-US"/>
        </w:rPr>
        <w:t xml:space="preserve">: Our Paying agent </w:t>
      </w:r>
      <w:proofErr w:type="spellStart"/>
      <w:r w:rsidRPr="00681745">
        <w:rPr>
          <w:color w:val="000000"/>
          <w:sz w:val="18"/>
          <w:szCs w:val="18"/>
          <w:lang w:val="en-US"/>
        </w:rPr>
        <w:t>UniCredit</w:t>
      </w:r>
      <w:proofErr w:type="spellEnd"/>
      <w:r w:rsidRPr="00681745">
        <w:rPr>
          <w:color w:val="000000"/>
          <w:sz w:val="18"/>
          <w:szCs w:val="18"/>
          <w:lang w:val="en-US"/>
        </w:rPr>
        <w:t xml:space="preserve"> Bank Czech Republic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Zeletavska</w:t>
      </w:r>
      <w:proofErr w:type="spellEnd"/>
      <w:r w:rsidRPr="00681745">
        <w:rPr>
          <w:color w:val="000000"/>
          <w:sz w:val="18"/>
          <w:szCs w:val="18"/>
          <w:lang w:val="en-US"/>
        </w:rPr>
        <w:t xml:space="preserve"> 1525/1, 14092 </w:t>
      </w:r>
      <w:proofErr w:type="spellStart"/>
      <w:r w:rsidRPr="00681745">
        <w:rPr>
          <w:color w:val="000000"/>
          <w:sz w:val="18"/>
          <w:szCs w:val="18"/>
          <w:lang w:val="en-US"/>
        </w:rPr>
        <w:t>Prag</w:t>
      </w:r>
      <w:proofErr w:type="spellEnd"/>
      <w:r w:rsidRPr="00681745">
        <w:rPr>
          <w:color w:val="000000"/>
          <w:sz w:val="18"/>
          <w:szCs w:val="18"/>
          <w:lang w:val="en-US"/>
        </w:rPr>
        <w:t xml:space="preserve"> 4 - </w:t>
      </w:r>
      <w:proofErr w:type="spellStart"/>
      <w:r w:rsidRPr="00681745">
        <w:rPr>
          <w:color w:val="000000"/>
          <w:sz w:val="18"/>
          <w:szCs w:val="18"/>
          <w:lang w:val="en-US"/>
        </w:rPr>
        <w:t>Michle</w:t>
      </w:r>
      <w:proofErr w:type="spellEnd"/>
      <w:r w:rsidRPr="00681745">
        <w:rPr>
          <w:color w:val="000000"/>
          <w:sz w:val="18"/>
          <w:szCs w:val="18"/>
          <w:lang w:val="en-US"/>
        </w:rPr>
        <w:t>, Czech Republic. The KIID is available in Czech language. </w:t>
      </w:r>
      <w:smartTag w:uri="urn:schemas-microsoft-com:office:smarttags" w:element="country-region">
        <w:r w:rsidRPr="00681745">
          <w:rPr>
            <w:b/>
            <w:bCs/>
            <w:color w:val="000000"/>
            <w:sz w:val="18"/>
            <w:szCs w:val="18"/>
            <w:lang w:val="en-US"/>
          </w:rPr>
          <w:t>France</w:t>
        </w:r>
      </w:smartTag>
      <w:r w:rsidRPr="00681745">
        <w:rPr>
          <w:b/>
          <w:bCs/>
          <w:color w:val="000000"/>
          <w:sz w:val="18"/>
          <w:szCs w:val="18"/>
          <w:lang w:val="en-US"/>
        </w:rPr>
        <w:t>:</w:t>
      </w:r>
      <w:r w:rsidRPr="00681745">
        <w:rPr>
          <w:color w:val="000000"/>
          <w:sz w:val="18"/>
          <w:szCs w:val="18"/>
          <w:lang w:val="en-US"/>
        </w:rPr>
        <w:t xml:space="preserve"> FIL </w:t>
      </w:r>
      <w:proofErr w:type="spellStart"/>
      <w:r w:rsidRPr="00681745">
        <w:rPr>
          <w:color w:val="000000"/>
          <w:sz w:val="18"/>
          <w:szCs w:val="18"/>
          <w:lang w:val="en-US"/>
        </w:rPr>
        <w:t>Gestion</w:t>
      </w:r>
      <w:proofErr w:type="spellEnd"/>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N°GP03-004, 29 rue </w:t>
      </w:r>
      <w:smartTag w:uri="urn:schemas-microsoft-com:office:smarttags" w:element="place">
        <w:smartTag w:uri="urn:schemas-microsoft-com:office:smarttags" w:element="City">
          <w:r w:rsidRPr="00681745">
            <w:rPr>
              <w:color w:val="000000"/>
              <w:sz w:val="18"/>
              <w:szCs w:val="18"/>
              <w:lang w:val="en-US"/>
            </w:rPr>
            <w:t>de Berri</w:t>
          </w:r>
        </w:smartTag>
        <w:r w:rsidRPr="00681745">
          <w:rPr>
            <w:color w:val="000000"/>
            <w:sz w:val="18"/>
            <w:szCs w:val="18"/>
            <w:lang w:val="en-US"/>
          </w:rPr>
          <w:t xml:space="preserve">, </w:t>
        </w:r>
        <w:smartTag w:uri="urn:schemas-microsoft-com:office:smarttags" w:element="PostalCode">
          <w:r w:rsidRPr="00681745">
            <w:rPr>
              <w:color w:val="000000"/>
              <w:sz w:val="18"/>
              <w:szCs w:val="18"/>
              <w:lang w:val="en-US"/>
            </w:rPr>
            <w:t>75008</w:t>
          </w:r>
        </w:smartTag>
      </w:smartTag>
      <w:r w:rsidRPr="00681745">
        <w:rPr>
          <w:color w:val="000000"/>
          <w:sz w:val="18"/>
          <w:szCs w:val="18"/>
          <w:lang w:val="en-US"/>
        </w:rPr>
        <w:t xml:space="preserve"> Paris. The document is available in French upon request. </w:t>
      </w:r>
      <w:smartTag w:uri="urn:schemas-microsoft-com:office:smarttags" w:element="place">
        <w:smartTag w:uri="urn:schemas-microsoft-com:office:smarttags" w:element="country-region">
          <w:r w:rsidRPr="00681745">
            <w:rPr>
              <w:b/>
              <w:bCs/>
              <w:color w:val="000000"/>
              <w:sz w:val="18"/>
              <w:szCs w:val="18"/>
              <w:lang w:val="en-US"/>
            </w:rPr>
            <w:t>Germany</w:t>
          </w:r>
        </w:smartTag>
      </w:smartTag>
      <w:r w:rsidRPr="00681745">
        <w:rPr>
          <w:b/>
          <w:bCs/>
          <w:color w:val="000000"/>
          <w:sz w:val="18"/>
          <w:szCs w:val="18"/>
          <w:lang w:val="en-US"/>
        </w:rPr>
        <w:t>:</w:t>
      </w:r>
      <w:r w:rsidRPr="00681745">
        <w:rPr>
          <w:color w:val="000000"/>
          <w:sz w:val="18"/>
          <w:szCs w:val="18"/>
          <w:lang w:val="en-US"/>
        </w:rPr>
        <w:t xml:space="preserve"> FIL Investment Services GmbH, </w:t>
      </w:r>
      <w:proofErr w:type="spellStart"/>
      <w:r w:rsidRPr="00681745">
        <w:rPr>
          <w:color w:val="000000"/>
          <w:sz w:val="18"/>
          <w:szCs w:val="18"/>
          <w:lang w:val="en-US"/>
        </w:rPr>
        <w:t>Postfach</w:t>
      </w:r>
      <w:proofErr w:type="spellEnd"/>
      <w:r w:rsidRPr="00681745">
        <w:rPr>
          <w:color w:val="000000"/>
          <w:sz w:val="18"/>
          <w:szCs w:val="18"/>
          <w:lang w:val="en-US"/>
        </w:rPr>
        <w:t xml:space="preserve"> 200237, 60606 Frankfurt/Main or www.fidelity.de. </w:t>
      </w:r>
      <w:smartTag w:uri="urn:schemas-microsoft-com:office:smarttags" w:element="country-region">
        <w:r w:rsidRPr="00681745">
          <w:rPr>
            <w:b/>
            <w:bCs/>
            <w:color w:val="000000"/>
            <w:sz w:val="18"/>
            <w:szCs w:val="18"/>
            <w:lang w:val="en-US"/>
          </w:rPr>
          <w:t>Hungary</w:t>
        </w:r>
      </w:smartTag>
      <w:r w:rsidRPr="00681745">
        <w:rPr>
          <w:color w:val="000000"/>
          <w:sz w:val="18"/>
          <w:szCs w:val="18"/>
          <w:lang w:val="en-US"/>
        </w:rPr>
        <w:t xml:space="preserve">: </w:t>
      </w:r>
      <w:proofErr w:type="spellStart"/>
      <w:r w:rsidRPr="00681745">
        <w:rPr>
          <w:color w:val="000000"/>
          <w:sz w:val="18"/>
          <w:szCs w:val="18"/>
          <w:lang w:val="en-US"/>
        </w:rPr>
        <w:t>Raiffeisen</w:t>
      </w:r>
      <w:proofErr w:type="spellEnd"/>
      <w:r w:rsidRPr="00681745">
        <w:rPr>
          <w:color w:val="000000"/>
          <w:sz w:val="18"/>
          <w:szCs w:val="18"/>
          <w:lang w:val="en-US"/>
        </w:rPr>
        <w:t xml:space="preserve"> </w:t>
      </w:r>
      <w:proofErr w:type="spellStart"/>
      <w:r w:rsidRPr="00681745">
        <w:rPr>
          <w:color w:val="000000"/>
          <w:sz w:val="18"/>
          <w:szCs w:val="18"/>
          <w:lang w:val="en-US"/>
        </w:rPr>
        <w:t>Zentralbank</w:t>
      </w:r>
      <w:proofErr w:type="spellEnd"/>
      <w:r w:rsidRPr="00681745">
        <w:rPr>
          <w:color w:val="000000"/>
          <w:sz w:val="18"/>
          <w:szCs w:val="18"/>
          <w:lang w:val="en-US"/>
        </w:rPr>
        <w:t xml:space="preserve"> </w:t>
      </w:r>
      <w:proofErr w:type="spellStart"/>
      <w:r w:rsidRPr="00681745">
        <w:rPr>
          <w:color w:val="000000"/>
          <w:sz w:val="18"/>
          <w:szCs w:val="18"/>
          <w:lang w:val="en-US"/>
        </w:rPr>
        <w:t>Österreich</w:t>
      </w:r>
      <w:proofErr w:type="spellEnd"/>
      <w:r w:rsidRPr="00681745">
        <w:rPr>
          <w:color w:val="000000"/>
          <w:sz w:val="18"/>
          <w:szCs w:val="18"/>
          <w:lang w:val="en-US"/>
        </w:rPr>
        <w:t xml:space="preserve"> AG, </w:t>
      </w:r>
      <w:proofErr w:type="spellStart"/>
      <w:r w:rsidRPr="00681745">
        <w:rPr>
          <w:color w:val="000000"/>
          <w:sz w:val="18"/>
          <w:szCs w:val="18"/>
          <w:lang w:val="en-US"/>
        </w:rPr>
        <w:t>Akademia</w:t>
      </w:r>
      <w:proofErr w:type="spellEnd"/>
      <w:r w:rsidRPr="00681745">
        <w:rPr>
          <w:color w:val="000000"/>
          <w:sz w:val="18"/>
          <w:szCs w:val="18"/>
          <w:lang w:val="en-US"/>
        </w:rPr>
        <w:t xml:space="preserve"> u. 6, 1054 </w:t>
      </w:r>
      <w:smartTag w:uri="urn:schemas-microsoft-com:office:smarttags" w:element="place">
        <w:smartTag w:uri="urn:schemas-microsoft-com:office:smarttags" w:element="City">
          <w:r w:rsidRPr="00681745">
            <w:rPr>
              <w:color w:val="000000"/>
              <w:sz w:val="18"/>
              <w:szCs w:val="18"/>
              <w:lang w:val="en-US"/>
            </w:rPr>
            <w:t>Budapest</w:t>
          </w:r>
        </w:smartTag>
      </w:smartTag>
      <w:r w:rsidRPr="00681745">
        <w:rPr>
          <w:color w:val="000000"/>
          <w:sz w:val="18"/>
          <w:szCs w:val="18"/>
          <w:lang w:val="en-US"/>
        </w:rPr>
        <w:t>. The KIID is available in Hungarian language. </w:t>
      </w:r>
      <w:r w:rsidRPr="00681745">
        <w:rPr>
          <w:b/>
          <w:bCs/>
          <w:color w:val="000000"/>
          <w:sz w:val="18"/>
          <w:szCs w:val="18"/>
          <w:lang w:val="en-US"/>
        </w:rPr>
        <w:t>Netherlands</w:t>
      </w:r>
      <w:r w:rsidRPr="00681745">
        <w:rPr>
          <w:color w:val="000000"/>
          <w:sz w:val="18"/>
          <w:szCs w:val="18"/>
          <w:lang w:val="en-US"/>
        </w:rPr>
        <w:t xml:space="preserve">: FIL (Luxembourg) S.A., Netherlands Branch (registered with the AFM), World Trade Centre, Tower H, 6th Floor, </w:t>
      </w:r>
      <w:proofErr w:type="spellStart"/>
      <w:r w:rsidRPr="00681745">
        <w:rPr>
          <w:color w:val="000000"/>
          <w:sz w:val="18"/>
          <w:szCs w:val="18"/>
          <w:lang w:val="en-US"/>
        </w:rPr>
        <w:t>Zuidplein</w:t>
      </w:r>
      <w:proofErr w:type="spellEnd"/>
      <w:r w:rsidRPr="00681745">
        <w:rPr>
          <w:color w:val="000000"/>
          <w:sz w:val="18"/>
          <w:szCs w:val="18"/>
          <w:lang w:val="en-US"/>
        </w:rPr>
        <w:t xml:space="preserve"> 52, 1077 XV Amsterdam (tel. 0031 20 79 77 100). </w:t>
      </w:r>
      <w:smartTag w:uri="urn:schemas-microsoft-com:office:smarttags" w:element="country-region">
        <w:r w:rsidRPr="00681745">
          <w:rPr>
            <w:b/>
            <w:bCs/>
            <w:color w:val="000000"/>
            <w:sz w:val="18"/>
            <w:szCs w:val="18"/>
            <w:lang w:val="en-US"/>
          </w:rPr>
          <w:t>Poland</w:t>
        </w:r>
      </w:smartTag>
      <w:r w:rsidRPr="00681745">
        <w:rPr>
          <w:color w:val="000000"/>
          <w:sz w:val="18"/>
          <w:szCs w:val="18"/>
          <w:lang w:val="en-US"/>
        </w:rPr>
        <w:t>:</w:t>
      </w:r>
      <w:r w:rsidRPr="00681745">
        <w:rPr>
          <w:b/>
          <w:bCs/>
          <w:color w:val="000000"/>
          <w:sz w:val="18"/>
          <w:szCs w:val="18"/>
          <w:lang w:val="en-US"/>
        </w:rPr>
        <w:t> </w:t>
      </w:r>
      <w:r w:rsidRPr="00681745">
        <w:rPr>
          <w:color w:val="000000"/>
          <w:sz w:val="18"/>
          <w:szCs w:val="18"/>
          <w:lang w:val="en-US"/>
        </w:rPr>
        <w:t xml:space="preserve">Our representative office in </w:t>
      </w:r>
      <w:smartTag w:uri="urn:schemas-microsoft-com:office:smarttags" w:element="place">
        <w:smartTag w:uri="urn:schemas-microsoft-com:office:smarttags" w:element="country-region">
          <w:r w:rsidRPr="00681745">
            <w:rPr>
              <w:color w:val="000000"/>
              <w:sz w:val="18"/>
              <w:szCs w:val="18"/>
              <w:lang w:val="en-US"/>
            </w:rPr>
            <w:t>Poland</w:t>
          </w:r>
        </w:smartTag>
      </w:smartTag>
      <w:r w:rsidRPr="00681745">
        <w:rPr>
          <w:color w:val="000000"/>
          <w:sz w:val="18"/>
          <w:szCs w:val="18"/>
          <w:lang w:val="en-US"/>
        </w:rPr>
        <w:t xml:space="preserve"> or on www.fidelity.pl. The Additional Information for Investors is available upon request. </w:t>
      </w:r>
      <w:smartTag w:uri="urn:schemas-microsoft-com:office:smarttags" w:element="country-region">
        <w:r w:rsidRPr="00681745">
          <w:rPr>
            <w:b/>
            <w:bCs/>
            <w:color w:val="000000"/>
            <w:sz w:val="18"/>
            <w:szCs w:val="18"/>
            <w:lang w:val="en-US"/>
          </w:rPr>
          <w:t>Slovakia</w:t>
        </w:r>
      </w:smartTag>
      <w:r w:rsidRPr="00681745">
        <w:rPr>
          <w:b/>
          <w:bCs/>
          <w:color w:val="000000"/>
          <w:sz w:val="18"/>
          <w:szCs w:val="18"/>
          <w:lang w:val="en-US"/>
        </w:rPr>
        <w:t>:</w:t>
      </w:r>
      <w:r w:rsidRPr="00681745">
        <w:rPr>
          <w:color w:val="000000"/>
          <w:sz w:val="18"/>
          <w:szCs w:val="18"/>
          <w:lang w:val="en-US"/>
        </w:rPr>
        <w:t xml:space="preserve"> Our paying agent </w:t>
      </w:r>
      <w:proofErr w:type="spellStart"/>
      <w:r w:rsidRPr="00681745">
        <w:rPr>
          <w:color w:val="000000"/>
          <w:sz w:val="18"/>
          <w:szCs w:val="18"/>
          <w:lang w:val="en-US"/>
        </w:rPr>
        <w:t>UniCredit</w:t>
      </w:r>
      <w:proofErr w:type="spellEnd"/>
      <w:r w:rsidRPr="00681745">
        <w:rPr>
          <w:color w:val="000000"/>
          <w:sz w:val="18"/>
          <w:szCs w:val="18"/>
          <w:lang w:val="en-US"/>
        </w:rPr>
        <w:t xml:space="preserve"> Bank </w:t>
      </w:r>
      <w:smartTag w:uri="urn:schemas-microsoft-com:office:smarttags" w:element="country-region">
        <w:r w:rsidRPr="00681745">
          <w:rPr>
            <w:color w:val="000000"/>
            <w:sz w:val="18"/>
            <w:szCs w:val="18"/>
            <w:lang w:val="en-US"/>
          </w:rPr>
          <w:t>Slovakia</w:t>
        </w:r>
      </w:smartTag>
      <w:r w:rsidRPr="00681745">
        <w:rPr>
          <w:color w:val="000000"/>
          <w:sz w:val="18"/>
          <w:szCs w:val="18"/>
          <w:lang w:val="en-US"/>
        </w:rPr>
        <w:t xml:space="preserve">,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Sancova</w:t>
      </w:r>
      <w:proofErr w:type="spellEnd"/>
      <w:r w:rsidRPr="00681745">
        <w:rPr>
          <w:color w:val="000000"/>
          <w:sz w:val="18"/>
          <w:szCs w:val="18"/>
          <w:lang w:val="en-US"/>
        </w:rPr>
        <w:t xml:space="preserve"> 1/A 81333, </w:t>
      </w:r>
      <w:smartTag w:uri="urn:schemas-microsoft-com:office:smarttags" w:element="place">
        <w:smartTag w:uri="urn:schemas-microsoft-com:office:smarttags" w:element="country-region">
          <w:r w:rsidRPr="00681745">
            <w:rPr>
              <w:color w:val="000000"/>
              <w:sz w:val="18"/>
              <w:szCs w:val="18"/>
              <w:lang w:val="en-US"/>
            </w:rPr>
            <w:t>Slovakia</w:t>
          </w:r>
        </w:smartTag>
      </w:smartTag>
      <w:r w:rsidRPr="00681745">
        <w:rPr>
          <w:color w:val="000000"/>
          <w:sz w:val="18"/>
          <w:szCs w:val="18"/>
          <w:lang w:val="en-US"/>
        </w:rPr>
        <w:t>. The KIID is available in Slovak language.</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Issued by: FIL (</w:t>
      </w:r>
      <w:smartTag w:uri="urn:schemas-microsoft-com:office:smarttags" w:element="country-region">
        <w:r w:rsidRPr="00681745">
          <w:rPr>
            <w:color w:val="000000"/>
            <w:sz w:val="18"/>
            <w:szCs w:val="18"/>
            <w:lang w:val="en-US"/>
          </w:rPr>
          <w:t>Luxembourg</w:t>
        </w:r>
      </w:smartTag>
      <w:r w:rsidRPr="00681745">
        <w:rPr>
          <w:color w:val="000000"/>
          <w:sz w:val="18"/>
          <w:szCs w:val="18"/>
          <w:lang w:val="en-US"/>
        </w:rPr>
        <w:t xml:space="preserve">) </w:t>
      </w:r>
      <w:smartTag w:uri="urn:schemas-microsoft-com:office:smarttags" w:element="place">
        <w:smartTag w:uri="urn:schemas-microsoft-com:office:smarttags" w:element="country-region">
          <w:r w:rsidRPr="00681745">
            <w:rPr>
              <w:color w:val="000000"/>
              <w:sz w:val="18"/>
              <w:szCs w:val="18"/>
              <w:lang w:val="en-US"/>
            </w:rPr>
            <w:t>S.A.</w:t>
          </w:r>
        </w:smartTag>
      </w:smartTag>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CSSF (Commission de</w:t>
      </w:r>
    </w:p>
    <w:p w:rsidR="00645857" w:rsidRPr="00A30105" w:rsidRDefault="00A82FF0" w:rsidP="00A30105">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Surveillance du </w:t>
      </w:r>
      <w:proofErr w:type="spellStart"/>
      <w:r w:rsidRPr="00681745">
        <w:rPr>
          <w:color w:val="000000"/>
          <w:sz w:val="18"/>
          <w:szCs w:val="18"/>
          <w:lang w:val="en-US"/>
        </w:rPr>
        <w:t>Secteur</w:t>
      </w:r>
      <w:proofErr w:type="spellEnd"/>
      <w:r w:rsidRPr="00681745">
        <w:rPr>
          <w:color w:val="000000"/>
          <w:sz w:val="18"/>
          <w:szCs w:val="18"/>
          <w:lang w:val="en-US"/>
        </w:rPr>
        <w:t xml:space="preserve"> Financier) / FIL </w:t>
      </w:r>
      <w:proofErr w:type="spellStart"/>
      <w:r w:rsidRPr="00681745">
        <w:rPr>
          <w:color w:val="000000"/>
          <w:sz w:val="18"/>
          <w:szCs w:val="18"/>
          <w:lang w:val="en-US"/>
        </w:rPr>
        <w:t>Gestion</w:t>
      </w:r>
      <w:proofErr w:type="spellEnd"/>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 FIL Investments Services GmbH.</w:t>
      </w:r>
    </w:p>
    <w:sectPr w:rsidR="00645857" w:rsidRPr="00A30105" w:rsidSect="002F1160">
      <w:headerReference w:type="default" r:id="rId12"/>
      <w:footerReference w:type="default" r:id="rId13"/>
      <w:headerReference w:type="first" r:id="rId1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A88" w:rsidRDefault="00626A88">
      <w:r>
        <w:separator/>
      </w:r>
    </w:p>
  </w:endnote>
  <w:endnote w:type="continuationSeparator" w:id="0">
    <w:p w:rsidR="00626A88" w:rsidRDefault="0062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A88" w:rsidRDefault="00626A88">
      <w:r>
        <w:separator/>
      </w:r>
    </w:p>
  </w:footnote>
  <w:footnote w:type="continuationSeparator" w:id="0">
    <w:p w:rsidR="00626A88" w:rsidRDefault="00626A88">
      <w:r>
        <w:continuationSeparator/>
      </w:r>
    </w:p>
  </w:footnote>
  <w:footnote w:type="continuationNotice" w:id="1">
    <w:p w:rsidR="00626A88" w:rsidRDefault="00626A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Default="001D1343" w:rsidP="00585CC6">
    <w:pPr>
      <w:pStyle w:val="F-zpa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Default="00BE7B01">
    <w:pPr>
      <w:pStyle w:val="Zhlav"/>
    </w:pPr>
    <w:r>
      <w:rPr>
        <w:noProof/>
      </w:rPr>
      <w:drawing>
        <wp:anchor distT="0" distB="0" distL="114300" distR="114300" simplePos="0" relativeHeight="251657728" behindDoc="0" locked="0" layoutInCell="1" allowOverlap="1">
          <wp:simplePos x="0" y="0"/>
          <wp:positionH relativeFrom="column">
            <wp:posOffset>4181475</wp:posOffset>
          </wp:positionH>
          <wp:positionV relativeFrom="paragraph">
            <wp:posOffset>255270</wp:posOffset>
          </wp:positionV>
          <wp:extent cx="1581150" cy="4857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rsidR="001D1343" w:rsidRDefault="001D1343">
    <w:pPr>
      <w:pStyle w:val="Zhlav"/>
    </w:pPr>
  </w:p>
  <w:p w:rsidR="001D1343" w:rsidRDefault="001D134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729073F2">
      <w:start w:val="1"/>
      <w:numFmt w:val="none"/>
      <w:pStyle w:val="F6-kol"/>
      <w:lvlText w:val="!! ÚKOL !!"/>
      <w:lvlJc w:val="left"/>
      <w:pPr>
        <w:tabs>
          <w:tab w:val="num" w:pos="0"/>
        </w:tabs>
        <w:ind w:left="0" w:firstLine="0"/>
      </w:pPr>
      <w:rPr>
        <w:rFonts w:hint="default"/>
        <w:b/>
        <w:i w:val="0"/>
        <w:color w:val="0000FF"/>
      </w:rPr>
    </w:lvl>
    <w:lvl w:ilvl="1" w:tplc="6B7E233C">
      <w:start w:val="1"/>
      <w:numFmt w:val="lowerLetter"/>
      <w:lvlText w:val="%2)"/>
      <w:lvlJc w:val="left"/>
      <w:pPr>
        <w:tabs>
          <w:tab w:val="num" w:pos="743"/>
        </w:tabs>
        <w:ind w:left="743" w:hanging="363"/>
      </w:pPr>
      <w:rPr>
        <w:rFonts w:hint="default"/>
        <w:b/>
        <w:i w:val="0"/>
        <w:color w:val="0000FF"/>
      </w:rPr>
    </w:lvl>
    <w:lvl w:ilvl="2" w:tplc="24B225A8" w:tentative="1">
      <w:start w:val="1"/>
      <w:numFmt w:val="lowerRoman"/>
      <w:lvlText w:val="%3."/>
      <w:lvlJc w:val="right"/>
      <w:pPr>
        <w:tabs>
          <w:tab w:val="num" w:pos="2160"/>
        </w:tabs>
        <w:ind w:left="2160" w:hanging="180"/>
      </w:pPr>
    </w:lvl>
    <w:lvl w:ilvl="3" w:tplc="0F2E964C" w:tentative="1">
      <w:start w:val="1"/>
      <w:numFmt w:val="decimal"/>
      <w:lvlText w:val="%4."/>
      <w:lvlJc w:val="left"/>
      <w:pPr>
        <w:tabs>
          <w:tab w:val="num" w:pos="2880"/>
        </w:tabs>
        <w:ind w:left="2880" w:hanging="360"/>
      </w:pPr>
    </w:lvl>
    <w:lvl w:ilvl="4" w:tplc="75A24FF8" w:tentative="1">
      <w:start w:val="1"/>
      <w:numFmt w:val="lowerLetter"/>
      <w:lvlText w:val="%5."/>
      <w:lvlJc w:val="left"/>
      <w:pPr>
        <w:tabs>
          <w:tab w:val="num" w:pos="3600"/>
        </w:tabs>
        <w:ind w:left="3600" w:hanging="360"/>
      </w:pPr>
    </w:lvl>
    <w:lvl w:ilvl="5" w:tplc="37CC130A" w:tentative="1">
      <w:start w:val="1"/>
      <w:numFmt w:val="lowerRoman"/>
      <w:lvlText w:val="%6."/>
      <w:lvlJc w:val="right"/>
      <w:pPr>
        <w:tabs>
          <w:tab w:val="num" w:pos="4320"/>
        </w:tabs>
        <w:ind w:left="4320" w:hanging="180"/>
      </w:pPr>
    </w:lvl>
    <w:lvl w:ilvl="6" w:tplc="E214B59A" w:tentative="1">
      <w:start w:val="1"/>
      <w:numFmt w:val="decimal"/>
      <w:lvlText w:val="%7."/>
      <w:lvlJc w:val="left"/>
      <w:pPr>
        <w:tabs>
          <w:tab w:val="num" w:pos="5040"/>
        </w:tabs>
        <w:ind w:left="5040" w:hanging="360"/>
      </w:pPr>
    </w:lvl>
    <w:lvl w:ilvl="7" w:tplc="7E643CFC" w:tentative="1">
      <w:start w:val="1"/>
      <w:numFmt w:val="lowerLetter"/>
      <w:lvlText w:val="%8."/>
      <w:lvlJc w:val="left"/>
      <w:pPr>
        <w:tabs>
          <w:tab w:val="num" w:pos="5760"/>
        </w:tabs>
        <w:ind w:left="5760" w:hanging="360"/>
      </w:pPr>
    </w:lvl>
    <w:lvl w:ilvl="8" w:tplc="23B06140" w:tentative="1">
      <w:start w:val="1"/>
      <w:numFmt w:val="lowerRoman"/>
      <w:lvlText w:val="%9."/>
      <w:lvlJc w:val="right"/>
      <w:pPr>
        <w:tabs>
          <w:tab w:val="num" w:pos="6480"/>
        </w:tabs>
        <w:ind w:left="6480" w:hanging="180"/>
      </w:pPr>
    </w:lvl>
  </w:abstractNum>
  <w:abstractNum w:abstractNumId="16"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6"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1"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4"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FC015B7"/>
    <w:multiLevelType w:val="hybridMultilevel"/>
    <w:tmpl w:val="D40EC4D8"/>
    <w:lvl w:ilvl="0" w:tplc="52DC2444">
      <w:start w:val="1"/>
      <w:numFmt w:val="none"/>
      <w:pStyle w:val="F7-chyba"/>
      <w:lvlText w:val="!! CHYBA !!"/>
      <w:lvlJc w:val="left"/>
      <w:pPr>
        <w:tabs>
          <w:tab w:val="num" w:pos="0"/>
        </w:tabs>
        <w:ind w:left="0" w:firstLine="0"/>
      </w:pPr>
      <w:rPr>
        <w:rFonts w:hint="default"/>
        <w:b/>
        <w:i w:val="0"/>
        <w:color w:val="FF0000"/>
      </w:rPr>
    </w:lvl>
    <w:lvl w:ilvl="1" w:tplc="AF4C8C42">
      <w:start w:val="1"/>
      <w:numFmt w:val="lowerLetter"/>
      <w:lvlText w:val="%2."/>
      <w:lvlJc w:val="left"/>
      <w:pPr>
        <w:tabs>
          <w:tab w:val="num" w:pos="1440"/>
        </w:tabs>
        <w:ind w:left="1440" w:hanging="360"/>
      </w:pPr>
    </w:lvl>
    <w:lvl w:ilvl="2" w:tplc="2FB0BDAE" w:tentative="1">
      <w:start w:val="1"/>
      <w:numFmt w:val="lowerRoman"/>
      <w:lvlText w:val="%3."/>
      <w:lvlJc w:val="right"/>
      <w:pPr>
        <w:tabs>
          <w:tab w:val="num" w:pos="2160"/>
        </w:tabs>
        <w:ind w:left="2160" w:hanging="180"/>
      </w:pPr>
    </w:lvl>
    <w:lvl w:ilvl="3" w:tplc="7194D43A" w:tentative="1">
      <w:start w:val="1"/>
      <w:numFmt w:val="decimal"/>
      <w:lvlText w:val="%4."/>
      <w:lvlJc w:val="left"/>
      <w:pPr>
        <w:tabs>
          <w:tab w:val="num" w:pos="2880"/>
        </w:tabs>
        <w:ind w:left="2880" w:hanging="360"/>
      </w:pPr>
    </w:lvl>
    <w:lvl w:ilvl="4" w:tplc="6AD2760A" w:tentative="1">
      <w:start w:val="1"/>
      <w:numFmt w:val="lowerLetter"/>
      <w:lvlText w:val="%5."/>
      <w:lvlJc w:val="left"/>
      <w:pPr>
        <w:tabs>
          <w:tab w:val="num" w:pos="3600"/>
        </w:tabs>
        <w:ind w:left="3600" w:hanging="360"/>
      </w:pPr>
    </w:lvl>
    <w:lvl w:ilvl="5" w:tplc="BABEBCCA" w:tentative="1">
      <w:start w:val="1"/>
      <w:numFmt w:val="lowerRoman"/>
      <w:lvlText w:val="%6."/>
      <w:lvlJc w:val="right"/>
      <w:pPr>
        <w:tabs>
          <w:tab w:val="num" w:pos="4320"/>
        </w:tabs>
        <w:ind w:left="4320" w:hanging="180"/>
      </w:pPr>
    </w:lvl>
    <w:lvl w:ilvl="6" w:tplc="227EA48E" w:tentative="1">
      <w:start w:val="1"/>
      <w:numFmt w:val="decimal"/>
      <w:lvlText w:val="%7."/>
      <w:lvlJc w:val="left"/>
      <w:pPr>
        <w:tabs>
          <w:tab w:val="num" w:pos="5040"/>
        </w:tabs>
        <w:ind w:left="5040" w:hanging="360"/>
      </w:pPr>
    </w:lvl>
    <w:lvl w:ilvl="7" w:tplc="7980C2C4" w:tentative="1">
      <w:start w:val="1"/>
      <w:numFmt w:val="lowerLetter"/>
      <w:lvlText w:val="%8."/>
      <w:lvlJc w:val="left"/>
      <w:pPr>
        <w:tabs>
          <w:tab w:val="num" w:pos="5760"/>
        </w:tabs>
        <w:ind w:left="5760" w:hanging="360"/>
      </w:pPr>
    </w:lvl>
    <w:lvl w:ilvl="8" w:tplc="59D23838" w:tentative="1">
      <w:start w:val="1"/>
      <w:numFmt w:val="lowerRoman"/>
      <w:lvlText w:val="%9."/>
      <w:lvlJc w:val="right"/>
      <w:pPr>
        <w:tabs>
          <w:tab w:val="num" w:pos="6480"/>
        </w:tabs>
        <w:ind w:left="6480" w:hanging="180"/>
      </w:pPr>
    </w:lvl>
  </w:abstractNum>
  <w:abstractNum w:abstractNumId="37"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36"/>
  </w:num>
  <w:num w:numId="4">
    <w:abstractNumId w:val="40"/>
  </w:num>
  <w:num w:numId="5">
    <w:abstractNumId w:val="22"/>
  </w:num>
  <w:num w:numId="6">
    <w:abstractNumId w:val="24"/>
  </w:num>
  <w:num w:numId="7">
    <w:abstractNumId w:val="19"/>
  </w:num>
  <w:num w:numId="8">
    <w:abstractNumId w:val="39"/>
  </w:num>
  <w:num w:numId="9">
    <w:abstractNumId w:val="28"/>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38"/>
  </w:num>
  <w:num w:numId="22">
    <w:abstractNumId w:val="35"/>
  </w:num>
  <w:num w:numId="23">
    <w:abstractNumId w:val="14"/>
  </w:num>
  <w:num w:numId="24">
    <w:abstractNumId w:val="2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7"/>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8"/>
  </w:num>
  <w:num w:numId="32">
    <w:abstractNumId w:val="13"/>
  </w:num>
  <w:num w:numId="33">
    <w:abstractNumId w:val="29"/>
  </w:num>
  <w:num w:numId="34">
    <w:abstractNumId w:val="12"/>
  </w:num>
  <w:num w:numId="35">
    <w:abstractNumId w:val="33"/>
  </w:num>
  <w:num w:numId="36">
    <w:abstractNumId w:val="11"/>
  </w:num>
  <w:num w:numId="37">
    <w:abstractNumId w:val="30"/>
  </w:num>
  <w:num w:numId="38">
    <w:abstractNumId w:val="20"/>
  </w:num>
  <w:num w:numId="39">
    <w:abstractNumId w:val="26"/>
  </w:num>
  <w:num w:numId="40">
    <w:abstractNumId w:val="17"/>
  </w:num>
  <w:num w:numId="41">
    <w:abstractNumId w:val="32"/>
  </w:num>
  <w:num w:numId="42">
    <w:abstractNumId w:val="16"/>
  </w:num>
  <w:num w:numId="4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C6"/>
    <w:rsid w:val="00001A0D"/>
    <w:rsid w:val="000064D6"/>
    <w:rsid w:val="00006E35"/>
    <w:rsid w:val="00011BEC"/>
    <w:rsid w:val="00013232"/>
    <w:rsid w:val="000237A9"/>
    <w:rsid w:val="00026B23"/>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2BEA"/>
    <w:rsid w:val="0007034E"/>
    <w:rsid w:val="0007090F"/>
    <w:rsid w:val="00070C89"/>
    <w:rsid w:val="00071169"/>
    <w:rsid w:val="00073A88"/>
    <w:rsid w:val="00073D6F"/>
    <w:rsid w:val="000755DF"/>
    <w:rsid w:val="000763EB"/>
    <w:rsid w:val="00076A25"/>
    <w:rsid w:val="00080750"/>
    <w:rsid w:val="00083F45"/>
    <w:rsid w:val="00092137"/>
    <w:rsid w:val="00093E98"/>
    <w:rsid w:val="000940D0"/>
    <w:rsid w:val="000A2833"/>
    <w:rsid w:val="000A3FFF"/>
    <w:rsid w:val="000A5FDF"/>
    <w:rsid w:val="000B0FBB"/>
    <w:rsid w:val="000B2426"/>
    <w:rsid w:val="000C0E0E"/>
    <w:rsid w:val="000C4D6D"/>
    <w:rsid w:val="000C5471"/>
    <w:rsid w:val="000C772F"/>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60EB2"/>
    <w:rsid w:val="00161993"/>
    <w:rsid w:val="001628BC"/>
    <w:rsid w:val="00172F1C"/>
    <w:rsid w:val="0017506A"/>
    <w:rsid w:val="0018406F"/>
    <w:rsid w:val="0018525E"/>
    <w:rsid w:val="00193268"/>
    <w:rsid w:val="00193655"/>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6A9C"/>
    <w:rsid w:val="00212DDA"/>
    <w:rsid w:val="0021765E"/>
    <w:rsid w:val="0021778F"/>
    <w:rsid w:val="00224347"/>
    <w:rsid w:val="00224EAE"/>
    <w:rsid w:val="00225670"/>
    <w:rsid w:val="00230204"/>
    <w:rsid w:val="0023028F"/>
    <w:rsid w:val="00230B88"/>
    <w:rsid w:val="00231842"/>
    <w:rsid w:val="00232D93"/>
    <w:rsid w:val="0023608B"/>
    <w:rsid w:val="00236922"/>
    <w:rsid w:val="00236A18"/>
    <w:rsid w:val="00236C7C"/>
    <w:rsid w:val="00236FC4"/>
    <w:rsid w:val="00245331"/>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6FCD"/>
    <w:rsid w:val="002B72A2"/>
    <w:rsid w:val="002B7380"/>
    <w:rsid w:val="002C6682"/>
    <w:rsid w:val="002D0CC4"/>
    <w:rsid w:val="002D0CD4"/>
    <w:rsid w:val="002D7CBC"/>
    <w:rsid w:val="002E497E"/>
    <w:rsid w:val="002F0500"/>
    <w:rsid w:val="002F1160"/>
    <w:rsid w:val="00301881"/>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179EF"/>
    <w:rsid w:val="004202CB"/>
    <w:rsid w:val="00425B35"/>
    <w:rsid w:val="0043115E"/>
    <w:rsid w:val="00433AB4"/>
    <w:rsid w:val="00445D92"/>
    <w:rsid w:val="0045291A"/>
    <w:rsid w:val="00452BD8"/>
    <w:rsid w:val="004544F8"/>
    <w:rsid w:val="00454D44"/>
    <w:rsid w:val="00455259"/>
    <w:rsid w:val="0046155B"/>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D1014"/>
    <w:rsid w:val="004D3633"/>
    <w:rsid w:val="004E1CB1"/>
    <w:rsid w:val="004E2D7E"/>
    <w:rsid w:val="004E6300"/>
    <w:rsid w:val="004F1DDB"/>
    <w:rsid w:val="004F2995"/>
    <w:rsid w:val="004F324F"/>
    <w:rsid w:val="004F688F"/>
    <w:rsid w:val="004F7624"/>
    <w:rsid w:val="005007C8"/>
    <w:rsid w:val="00502D84"/>
    <w:rsid w:val="00512AEC"/>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7A71"/>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33F3"/>
    <w:rsid w:val="005A3C0F"/>
    <w:rsid w:val="005A3EC1"/>
    <w:rsid w:val="005B1B79"/>
    <w:rsid w:val="005B2F2A"/>
    <w:rsid w:val="005B6F85"/>
    <w:rsid w:val="005C00A9"/>
    <w:rsid w:val="005C4078"/>
    <w:rsid w:val="005C74D1"/>
    <w:rsid w:val="005C7C7C"/>
    <w:rsid w:val="005D37B5"/>
    <w:rsid w:val="005D49F1"/>
    <w:rsid w:val="005E1A38"/>
    <w:rsid w:val="005E2179"/>
    <w:rsid w:val="005E2AA8"/>
    <w:rsid w:val="005E45D5"/>
    <w:rsid w:val="005E616C"/>
    <w:rsid w:val="005E6624"/>
    <w:rsid w:val="006031EF"/>
    <w:rsid w:val="006044C8"/>
    <w:rsid w:val="006108D1"/>
    <w:rsid w:val="00611055"/>
    <w:rsid w:val="00612491"/>
    <w:rsid w:val="00614F7E"/>
    <w:rsid w:val="00617053"/>
    <w:rsid w:val="00620ECE"/>
    <w:rsid w:val="006226CD"/>
    <w:rsid w:val="00622E77"/>
    <w:rsid w:val="00623758"/>
    <w:rsid w:val="00624AE2"/>
    <w:rsid w:val="00624DDA"/>
    <w:rsid w:val="00626A88"/>
    <w:rsid w:val="00631992"/>
    <w:rsid w:val="00632705"/>
    <w:rsid w:val="00640475"/>
    <w:rsid w:val="006404A9"/>
    <w:rsid w:val="00641D35"/>
    <w:rsid w:val="00641F34"/>
    <w:rsid w:val="006440ED"/>
    <w:rsid w:val="00645857"/>
    <w:rsid w:val="00652AEE"/>
    <w:rsid w:val="00653433"/>
    <w:rsid w:val="00653727"/>
    <w:rsid w:val="00653C29"/>
    <w:rsid w:val="00654B04"/>
    <w:rsid w:val="00656EB3"/>
    <w:rsid w:val="006573B5"/>
    <w:rsid w:val="00657D5A"/>
    <w:rsid w:val="00661FF2"/>
    <w:rsid w:val="00662C8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CCA"/>
    <w:rsid w:val="006F640B"/>
    <w:rsid w:val="00705A61"/>
    <w:rsid w:val="007109F6"/>
    <w:rsid w:val="00715BEC"/>
    <w:rsid w:val="00716604"/>
    <w:rsid w:val="0071719A"/>
    <w:rsid w:val="0071726D"/>
    <w:rsid w:val="007176A7"/>
    <w:rsid w:val="00720781"/>
    <w:rsid w:val="0072363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5296"/>
    <w:rsid w:val="007B655B"/>
    <w:rsid w:val="007B7639"/>
    <w:rsid w:val="007C18F2"/>
    <w:rsid w:val="007C1AC1"/>
    <w:rsid w:val="007C1FEC"/>
    <w:rsid w:val="007C46D1"/>
    <w:rsid w:val="007C5731"/>
    <w:rsid w:val="007F1637"/>
    <w:rsid w:val="007F4ABD"/>
    <w:rsid w:val="007F7B5C"/>
    <w:rsid w:val="00800307"/>
    <w:rsid w:val="00800365"/>
    <w:rsid w:val="008014EC"/>
    <w:rsid w:val="008029BA"/>
    <w:rsid w:val="008111C3"/>
    <w:rsid w:val="00813471"/>
    <w:rsid w:val="00814390"/>
    <w:rsid w:val="00814679"/>
    <w:rsid w:val="00814849"/>
    <w:rsid w:val="00821F46"/>
    <w:rsid w:val="00822050"/>
    <w:rsid w:val="00822B92"/>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76A7"/>
    <w:rsid w:val="008A0E63"/>
    <w:rsid w:val="008A2257"/>
    <w:rsid w:val="008B1F88"/>
    <w:rsid w:val="008B31D3"/>
    <w:rsid w:val="008B333F"/>
    <w:rsid w:val="008B383F"/>
    <w:rsid w:val="008B38AD"/>
    <w:rsid w:val="008B3FBF"/>
    <w:rsid w:val="008B44DA"/>
    <w:rsid w:val="008B4A06"/>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45F6"/>
    <w:rsid w:val="00917246"/>
    <w:rsid w:val="00917547"/>
    <w:rsid w:val="0091759A"/>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654A"/>
    <w:rsid w:val="00971196"/>
    <w:rsid w:val="00973755"/>
    <w:rsid w:val="00980736"/>
    <w:rsid w:val="00983F39"/>
    <w:rsid w:val="00984390"/>
    <w:rsid w:val="00985839"/>
    <w:rsid w:val="00992D61"/>
    <w:rsid w:val="00995C91"/>
    <w:rsid w:val="00995EE7"/>
    <w:rsid w:val="00996BF1"/>
    <w:rsid w:val="00997009"/>
    <w:rsid w:val="009A481E"/>
    <w:rsid w:val="009B06F1"/>
    <w:rsid w:val="009B3397"/>
    <w:rsid w:val="009B51E3"/>
    <w:rsid w:val="009B7220"/>
    <w:rsid w:val="009B76CB"/>
    <w:rsid w:val="009C1AD6"/>
    <w:rsid w:val="009C3DB4"/>
    <w:rsid w:val="009C3F13"/>
    <w:rsid w:val="009C7C8F"/>
    <w:rsid w:val="009D0450"/>
    <w:rsid w:val="009D332F"/>
    <w:rsid w:val="009D580B"/>
    <w:rsid w:val="009D6294"/>
    <w:rsid w:val="009E6ACF"/>
    <w:rsid w:val="009F2AF3"/>
    <w:rsid w:val="009F461F"/>
    <w:rsid w:val="00A006D3"/>
    <w:rsid w:val="00A01305"/>
    <w:rsid w:val="00A0259C"/>
    <w:rsid w:val="00A036CB"/>
    <w:rsid w:val="00A061CA"/>
    <w:rsid w:val="00A06AAA"/>
    <w:rsid w:val="00A135B3"/>
    <w:rsid w:val="00A1434D"/>
    <w:rsid w:val="00A14953"/>
    <w:rsid w:val="00A167B9"/>
    <w:rsid w:val="00A176A1"/>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81405"/>
    <w:rsid w:val="00A82FF0"/>
    <w:rsid w:val="00A96434"/>
    <w:rsid w:val="00AA2944"/>
    <w:rsid w:val="00AA3179"/>
    <w:rsid w:val="00AC31F2"/>
    <w:rsid w:val="00AC35C4"/>
    <w:rsid w:val="00AC4154"/>
    <w:rsid w:val="00AD18B4"/>
    <w:rsid w:val="00AE1843"/>
    <w:rsid w:val="00AE23F9"/>
    <w:rsid w:val="00AE2430"/>
    <w:rsid w:val="00AE4000"/>
    <w:rsid w:val="00AE4447"/>
    <w:rsid w:val="00AE6188"/>
    <w:rsid w:val="00AE7AF0"/>
    <w:rsid w:val="00AF4AE5"/>
    <w:rsid w:val="00B04103"/>
    <w:rsid w:val="00B047E9"/>
    <w:rsid w:val="00B05867"/>
    <w:rsid w:val="00B123FF"/>
    <w:rsid w:val="00B142F4"/>
    <w:rsid w:val="00B21C56"/>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839BA"/>
    <w:rsid w:val="00B86C35"/>
    <w:rsid w:val="00B86DD8"/>
    <w:rsid w:val="00B92703"/>
    <w:rsid w:val="00B97C18"/>
    <w:rsid w:val="00B97EC1"/>
    <w:rsid w:val="00BA1692"/>
    <w:rsid w:val="00BA2267"/>
    <w:rsid w:val="00BA2E58"/>
    <w:rsid w:val="00BA54F1"/>
    <w:rsid w:val="00BB0B67"/>
    <w:rsid w:val="00BB2970"/>
    <w:rsid w:val="00BC6E99"/>
    <w:rsid w:val="00BC7C00"/>
    <w:rsid w:val="00BD1EFB"/>
    <w:rsid w:val="00BD57C8"/>
    <w:rsid w:val="00BD5B58"/>
    <w:rsid w:val="00BE0E15"/>
    <w:rsid w:val="00BE5CF2"/>
    <w:rsid w:val="00BE72E5"/>
    <w:rsid w:val="00BE7B01"/>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41668"/>
    <w:rsid w:val="00C44F7A"/>
    <w:rsid w:val="00C45666"/>
    <w:rsid w:val="00C47D30"/>
    <w:rsid w:val="00C500E2"/>
    <w:rsid w:val="00C5024B"/>
    <w:rsid w:val="00C600E8"/>
    <w:rsid w:val="00C64618"/>
    <w:rsid w:val="00C7219E"/>
    <w:rsid w:val="00C745D1"/>
    <w:rsid w:val="00C7758D"/>
    <w:rsid w:val="00C77777"/>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B26CD"/>
    <w:rsid w:val="00EB3FB0"/>
    <w:rsid w:val="00EB5A09"/>
    <w:rsid w:val="00EB6E94"/>
    <w:rsid w:val="00EC1C37"/>
    <w:rsid w:val="00EC4A87"/>
    <w:rsid w:val="00EC6271"/>
    <w:rsid w:val="00ED086D"/>
    <w:rsid w:val="00ED2EBC"/>
    <w:rsid w:val="00ED7431"/>
    <w:rsid w:val="00EE3BFD"/>
    <w:rsid w:val="00EE5A58"/>
    <w:rsid w:val="00EE77EC"/>
    <w:rsid w:val="00EF0CFD"/>
    <w:rsid w:val="00EF1BA6"/>
    <w:rsid w:val="00EF4866"/>
    <w:rsid w:val="00EF754F"/>
    <w:rsid w:val="00F004E9"/>
    <w:rsid w:val="00F0649C"/>
    <w:rsid w:val="00F20E61"/>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2515"/>
    <w:rsid w:val="00FA269B"/>
    <w:rsid w:val="00FA4F9B"/>
    <w:rsid w:val="00FB0D18"/>
    <w:rsid w:val="00FB4712"/>
    <w:rsid w:val="00FB6B5D"/>
    <w:rsid w:val="00FC2426"/>
    <w:rsid w:val="00FC3827"/>
    <w:rsid w:val="00FC4DD0"/>
    <w:rsid w:val="00FC6196"/>
    <w:rsid w:val="00FC654F"/>
    <w:rsid w:val="00FC77AF"/>
    <w:rsid w:val="00FD00C2"/>
    <w:rsid w:val="00FD6B0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A22825C-D555-4D1F-A430-AF1F017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next w:val="F2-zkladn"/>
    <w:qFormat/>
    <w:rsid w:val="004202CB"/>
    <w:pPr>
      <w:spacing w:before="240" w:line="300" w:lineRule="exact"/>
      <w:jc w:val="both"/>
    </w:pPr>
    <w:rPr>
      <w:rFonts w:ascii="Arial" w:hAnsi="Arial" w:cs="Arial"/>
      <w:lang w:eastAsia="cs-CZ"/>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lang w:eastAsia="cs-CZ"/>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lang w:eastAsia="cs-CZ"/>
    </w:rPr>
  </w:style>
  <w:style w:type="paragraph" w:customStyle="1" w:styleId="Tabulka1Zbytek">
    <w:name w:val="Tabulka1_Zbytek"/>
    <w:semiHidden/>
    <w:rsid w:val="00284C66"/>
    <w:pPr>
      <w:widowControl w:val="0"/>
      <w:suppressAutoHyphens/>
      <w:spacing w:before="40" w:after="40"/>
    </w:pPr>
    <w:rPr>
      <w:rFonts w:ascii="Arial" w:hAnsi="Arial"/>
      <w:sz w:val="16"/>
      <w:szCs w:val="16"/>
      <w:lang w:eastAsia="cs-CZ"/>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titul">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75638">
      <w:bodyDiv w:val="1"/>
      <w:marLeft w:val="0"/>
      <w:marRight w:val="0"/>
      <w:marTop w:val="0"/>
      <w:marBottom w:val="0"/>
      <w:divBdr>
        <w:top w:val="none" w:sz="0" w:space="0" w:color="auto"/>
        <w:left w:val="none" w:sz="0" w:space="0" w:color="auto"/>
        <w:bottom w:val="none" w:sz="0" w:space="0" w:color="auto"/>
        <w:right w:val="none" w:sz="0" w:space="0" w:color="auto"/>
      </w:divBdr>
    </w:div>
    <w:div w:id="1319576796">
      <w:bodyDiv w:val="1"/>
      <w:marLeft w:val="0"/>
      <w:marRight w:val="0"/>
      <w:marTop w:val="0"/>
      <w:marBottom w:val="0"/>
      <w:divBdr>
        <w:top w:val="none" w:sz="0" w:space="0" w:color="auto"/>
        <w:left w:val="none" w:sz="0" w:space="0" w:color="auto"/>
        <w:bottom w:val="none" w:sz="0" w:space="0" w:color="auto"/>
        <w:right w:val="none" w:sz="0" w:space="0" w:color="auto"/>
      </w:divBdr>
    </w:div>
    <w:div w:id="153026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ela.stefcova@crestco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BFE4F-5A88-4583-91E4-D4FF6D36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1840</Words>
  <Characters>10858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12673</CharactersWithSpaces>
  <SharedDoc>false</SharedDoc>
  <HLinks>
    <vt:vector size="18" baseType="variant">
      <vt:variant>
        <vt:i4>5636133</vt:i4>
      </vt:variant>
      <vt:variant>
        <vt:i4>9</vt:i4>
      </vt:variant>
      <vt:variant>
        <vt:i4>0</vt:i4>
      </vt:variant>
      <vt:variant>
        <vt:i4>5</vt:i4>
      </vt:variant>
      <vt:variant>
        <vt:lpwstr>mailto:marcela.stefcova@crestcom.cz</vt:lpwstr>
      </vt:variant>
      <vt:variant>
        <vt:lpwstr/>
      </vt:variant>
      <vt:variant>
        <vt:i4>1572878</vt:i4>
      </vt:variant>
      <vt:variant>
        <vt:i4>-1</vt:i4>
      </vt:variant>
      <vt:variant>
        <vt:i4>1027</vt:i4>
      </vt:variant>
      <vt:variant>
        <vt:i4>4</vt:i4>
      </vt:variant>
      <vt:variant>
        <vt:lpwstr>https://www.fidelity.cz/</vt:lpwstr>
      </vt:variant>
      <vt:variant>
        <vt:lpwstr/>
      </vt:variant>
      <vt:variant>
        <vt:i4>1572878</vt:i4>
      </vt:variant>
      <vt:variant>
        <vt:i4>-1</vt:i4>
      </vt:variant>
      <vt:variant>
        <vt:i4>1026</vt:i4>
      </vt:variant>
      <vt:variant>
        <vt:i4>4</vt:i4>
      </vt:variant>
      <vt:variant>
        <vt:lpwstr>https://www.fidelity.cz/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Markéta Damková</cp:lastModifiedBy>
  <cp:revision>5</cp:revision>
  <cp:lastPrinted>2015-12-01T02:29:00Z</cp:lastPrinted>
  <dcterms:created xsi:type="dcterms:W3CDTF">2020-05-14T13:01:00Z</dcterms:created>
  <dcterms:modified xsi:type="dcterms:W3CDTF">2020-05-14T13:17:00Z</dcterms:modified>
</cp:coreProperties>
</file>